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16bis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513926</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Prague, CZ, 13th-17th Oct.,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Discussion on co-existence for HPUE</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7.1.3</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last RAN plenary meeting, a new WID on </w:t>
      </w:r>
      <w:r>
        <w:rPr>
          <w:lang w:eastAsia="zh-CN"/>
        </w:rPr>
        <w:t xml:space="preserve">UE RF requirement enhancements for the deployment in NR </w:t>
      </w:r>
      <w:r>
        <w:rPr>
          <w:rFonts w:hint="eastAsia"/>
          <w:lang w:val="en-US" w:eastAsia="zh-CN"/>
        </w:rPr>
        <w:t>FR1 was approved</w:t>
      </w:r>
      <w:r>
        <w:rPr>
          <w:rFonts w:hint="eastAsia"/>
          <w:bCs/>
          <w:i w:val="0"/>
          <w:iCs w:val="0"/>
          <w:kern w:val="0"/>
          <w:sz w:val="20"/>
          <w:szCs w:val="20"/>
          <w:highlight w:val="none"/>
          <w:lang w:val="en-US" w:eastAsia="zh-CN"/>
        </w:rPr>
        <w:t xml:space="preserve"> [1]. The objective for HPUE of this WID is: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60" w:line="240" w:lineRule="auto"/>
              <w:jc w:val="both"/>
              <w:textAlignment w:val="auto"/>
              <w:rPr>
                <w:lang w:eastAsia="zh-CN"/>
              </w:rPr>
            </w:pPr>
            <w:r>
              <w:rPr>
                <w:b/>
              </w:rPr>
              <w:t>High power UE (HPUE) for NR single carrier operation</w:t>
            </w:r>
          </w:p>
          <w:p>
            <w:pPr>
              <w:pStyle w:val="31"/>
              <w:keepNext w:val="0"/>
              <w:keepLines w:val="0"/>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Specify the UE RF requirements for single carrier TDD to support 4Tx for CPE/FWA UE with 4x26dBm PA configurations</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highlight w:val="none"/>
              </w:rPr>
            </w:pPr>
            <w:r>
              <w:rPr>
                <w:rFonts w:ascii="Times New Roman" w:hAnsi="Times New Roman"/>
                <w:sz w:val="20"/>
                <w:szCs w:val="20"/>
                <w:highlight w:val="none"/>
              </w:rPr>
              <w:t xml:space="preserve">Co-existence study </w:t>
            </w:r>
            <w:r>
              <w:rPr>
                <w:rFonts w:hint="eastAsia" w:ascii="Times New Roman" w:hAnsi="Times New Roman" w:eastAsia="等线"/>
                <w:sz w:val="20"/>
                <w:szCs w:val="20"/>
                <w:highlight w:val="none"/>
              </w:rPr>
              <w:t>for ACLR, specify ACLR requirements if needed</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Supporting 4x4 UL MIMO and TxD</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Specify the band specific requirements for exemplary bands</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E</w:t>
            </w:r>
            <w:r>
              <w:rPr>
                <w:rFonts w:ascii="Times New Roman" w:hAnsi="Times New Roman"/>
                <w:sz w:val="20"/>
                <w:szCs w:val="20"/>
              </w:rPr>
              <w:t>xample bands: n41, n77/n78, n79, n104</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eastAsia="等线"/>
                <w:sz w:val="20"/>
                <w:szCs w:val="20"/>
              </w:rPr>
              <w:t>Maximum output power is up to 32 dBm</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RAN4 to determine whether to reuse PC1 or introduce new power class</w:t>
            </w:r>
          </w:p>
          <w:p>
            <w:pPr>
              <w:keepNext w:val="0"/>
              <w:keepLines w:val="0"/>
              <w:pageBreakBefore w:val="0"/>
              <w:kinsoku/>
              <w:wordWrap/>
              <w:overflowPunct/>
              <w:topLinePunct w:val="0"/>
              <w:autoSpaceDE/>
              <w:autoSpaceDN/>
              <w:bidi w:val="0"/>
              <w:adjustRightInd/>
              <w:snapToGrid w:val="0"/>
              <w:spacing w:after="60" w:line="240" w:lineRule="auto"/>
              <w:textAlignment w:val="auto"/>
            </w:pPr>
          </w:p>
          <w:p>
            <w:pPr>
              <w:pStyle w:val="31"/>
              <w:keepNext w:val="0"/>
              <w:keepLines w:val="0"/>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PC1.5 with 2Tx for FDD bands for handheld and FWA UE</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Supporting 2x2 UL MIMO and TxD</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Baseline PA configuration: 2 x 26 dBm</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Specify the band specific requirements for exemplary bands</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E</w:t>
            </w:r>
            <w:r>
              <w:rPr>
                <w:rFonts w:ascii="Times New Roman" w:hAnsi="Times New Roman"/>
                <w:sz w:val="20"/>
                <w:szCs w:val="20"/>
              </w:rPr>
              <w:t>xample bands: n1, n25</w:t>
            </w:r>
          </w:p>
          <w:p>
            <w:pPr>
              <w:keepNext w:val="0"/>
              <w:keepLines w:val="0"/>
              <w:pageBreakBefore w:val="0"/>
              <w:kinsoku/>
              <w:wordWrap/>
              <w:overflowPunct/>
              <w:topLinePunct w:val="0"/>
              <w:autoSpaceDE/>
              <w:autoSpaceDN/>
              <w:bidi w:val="0"/>
              <w:adjustRightInd/>
              <w:snapToGrid w:val="0"/>
              <w:spacing w:after="60" w:line="240" w:lineRule="auto"/>
              <w:textAlignment w:val="auto"/>
              <w:rPr>
                <w:lang w:val="en-US"/>
              </w:rPr>
            </w:pPr>
          </w:p>
          <w:p>
            <w:pPr>
              <w:pStyle w:val="31"/>
              <w:keepNext w:val="0"/>
              <w:keepLines w:val="0"/>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PC1.5 1Tx for TDD bands for FWA</w:t>
            </w:r>
            <w:r>
              <w:rPr>
                <w:rFonts w:hint="eastAsia" w:ascii="Times New Roman" w:hAnsi="Times New Roman" w:eastAsia="等线"/>
                <w:sz w:val="20"/>
                <w:szCs w:val="20"/>
              </w:rPr>
              <w:t xml:space="preserve"> </w:t>
            </w:r>
            <w:r>
              <w:rPr>
                <w:rFonts w:ascii="Times New Roman" w:hAnsi="Times New Roman"/>
                <w:sz w:val="20"/>
                <w:szCs w:val="20"/>
              </w:rPr>
              <w:t>UE</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Baseline PA configuration: 1 x 29 dBm</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E</w:t>
            </w:r>
            <w:r>
              <w:rPr>
                <w:rFonts w:ascii="Times New Roman" w:hAnsi="Times New Roman"/>
                <w:sz w:val="20"/>
                <w:szCs w:val="20"/>
              </w:rPr>
              <w:t>xample bands: n41, n77/n78, n79</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This work is to start in 2026 Q4</w:t>
            </w:r>
          </w:p>
          <w:p>
            <w:pPr>
              <w:keepNext w:val="0"/>
              <w:keepLines w:val="0"/>
              <w:pageBreakBefore w:val="0"/>
              <w:kinsoku/>
              <w:wordWrap/>
              <w:overflowPunct/>
              <w:topLinePunct w:val="0"/>
              <w:autoSpaceDE/>
              <w:autoSpaceDN/>
              <w:bidi w:val="0"/>
              <w:adjustRightInd/>
              <w:snapToGrid w:val="0"/>
              <w:spacing w:after="60" w:line="240" w:lineRule="auto"/>
              <w:jc w:val="both"/>
              <w:textAlignment w:val="auto"/>
              <w:rPr>
                <w:lang w:val="en-US"/>
              </w:rPr>
            </w:pPr>
          </w:p>
          <w:p>
            <w:pPr>
              <w:pStyle w:val="31"/>
              <w:keepNext w:val="0"/>
              <w:keepLines w:val="0"/>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2Tx for TDD bands for FWA UE</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Baseline PA configuration: 2 x 29 dBm</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E</w:t>
            </w:r>
            <w:r>
              <w:rPr>
                <w:rFonts w:ascii="Times New Roman" w:hAnsi="Times New Roman"/>
                <w:sz w:val="20"/>
                <w:szCs w:val="20"/>
              </w:rPr>
              <w:t>xample bands: n41, n77/n78, n79, n104</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eastAsia="等线"/>
                <w:sz w:val="20"/>
                <w:szCs w:val="20"/>
              </w:rPr>
              <w:t>Maximum output power is up to 32 dBm</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eastAsia="等线"/>
                <w:sz w:val="20"/>
                <w:szCs w:val="20"/>
              </w:rPr>
              <w:t>RAN4 to determine whether to reuse PC1 or introduce new power class</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bCs/>
                <w:i w:val="0"/>
                <w:iCs w:val="0"/>
                <w:color w:val="auto"/>
                <w:kern w:val="0"/>
                <w:sz w:val="20"/>
                <w:szCs w:val="20"/>
                <w:highlight w:val="none"/>
                <w:vertAlign w:val="baseline"/>
                <w:lang w:val="en-US" w:eastAsia="zh-CN"/>
              </w:rPr>
            </w:pPr>
            <w:r>
              <w:rPr>
                <w:rFonts w:ascii="Times New Roman" w:hAnsi="Times New Roman"/>
                <w:sz w:val="20"/>
                <w:szCs w:val="20"/>
              </w:rPr>
              <w:t>This work is to start in 2026 Q4</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In this contribution, we provide some of our considerations on the co-existence issue</w:t>
      </w:r>
      <w:r>
        <w:rPr>
          <w:rFonts w:hint="eastAsia" w:eastAsia="宋体"/>
          <w:lang w:val="en-US" w:eastAsia="zh-CN"/>
        </w:rPr>
        <w:t xml:space="preserve"> for CPE/FWA UE</w:t>
      </w:r>
      <w:r>
        <w:rPr>
          <w:rFonts w:hint="eastAsia" w:eastAsia="宋体" w:cs="Times New Roman"/>
          <w:sz w:val="20"/>
          <w:szCs w:val="20"/>
          <w:lang w:val="en-US" w:eastAsia="zh-CN"/>
        </w:rPr>
        <w:t xml:space="preserve"> with 4x26dBm PA configuration.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3"/>
        <w:keepNext/>
        <w:keepLines w:val="0"/>
        <w:pageBreakBefore w:val="0"/>
        <w:widowControl/>
        <w:kinsoku/>
        <w:wordWrap/>
        <w:overflowPunct/>
        <w:topLinePunct w:val="0"/>
        <w:autoSpaceDE/>
        <w:autoSpaceDN/>
        <w:bidi w:val="0"/>
        <w:adjustRightInd/>
        <w:snapToGrid w:val="0"/>
        <w:spacing w:before="0" w:after="157" w:afterLines="50" w:line="240" w:lineRule="auto"/>
        <w:textAlignment w:val="auto"/>
        <w:rPr>
          <w:rFonts w:hint="default"/>
          <w:lang w:val="en-US" w:eastAsia="zh-CN"/>
        </w:rPr>
      </w:pPr>
      <w:r>
        <w:rPr>
          <w:rFonts w:hint="eastAsia"/>
          <w:lang w:val="en-US" w:eastAsia="zh-CN"/>
        </w:rPr>
        <w:t>2.1 General</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eastAsia="宋体"/>
          <w:lang w:val="en-US" w:eastAsia="zh-CN"/>
        </w:rPr>
        <w:t xml:space="preserve">Before the study of ACLR requirement, we firstly give a review of power class and PA configurations in legacy NR specification. 1Tx PC1 UE has been studied for </w:t>
      </w:r>
      <w:r>
        <w:t>public safety scenario</w:t>
      </w:r>
      <w:r>
        <w:rPr>
          <w:rFonts w:hint="eastAsia" w:eastAsia="宋体"/>
          <w:lang w:val="en-US" w:eastAsia="zh-CN"/>
        </w:rPr>
        <w:t xml:space="preserve">, and for other power classes, more than one antennas are supported additionally for UL MIMO or </w:t>
      </w:r>
      <w:r>
        <w:rPr>
          <w:rFonts w:eastAsia="MS Mincho"/>
        </w:rPr>
        <w:t>Tx Diversity</w:t>
      </w:r>
      <w:r>
        <w:rPr>
          <w:rFonts w:hint="eastAsia" w:eastAsia="宋体"/>
          <w:lang w:val="en-US" w:eastAsia="zh-CN"/>
        </w:rPr>
        <w:t>, the antenna configurations associated with the power class are categorized in Table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b/>
          <w:bCs/>
          <w:lang w:val="en-US" w:eastAsia="zh-CN"/>
        </w:rPr>
      </w:pPr>
      <w:r>
        <w:rPr>
          <w:rFonts w:hint="eastAsia" w:eastAsia="宋体"/>
          <w:b/>
          <w:bCs/>
          <w:lang w:val="en-US" w:eastAsia="zh-CN"/>
        </w:rPr>
        <w:t>Table 1 antenna configurations associated with the power class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2"/>
        <w:gridCol w:w="1903"/>
        <w:gridCol w:w="1903"/>
        <w:gridCol w:w="1903"/>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902" w:type="dxa"/>
            <mc:AlternateContent>
              <mc:Choice Requires="wpsCustomData">
                <wpsCustomData:diagonals>
                  <wpsCustomData:diagonal from="10000" to="30000">
                    <wpsCustomData:border w:val="single" w:color="auto" w:sz="4" w:space="0"/>
                  </wpsCustomData:diagonal>
                </wpsCustomData:diagonals>
              </mc:Choice>
            </mc:AlternateContent>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mc:AlternateContent>
                <mc:Choice Requires="wpsCustomData">
                  <wpsCustomData:diagonalParaType/>
                </mc:Choice>
              </mc:AlternateContent>
              <w:rPr>
                <w:rFonts w:hint="default" w:eastAsia="宋体"/>
                <w:vertAlign w:val="baseli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vertAlign w:val="baseline"/>
                <w:lang w:val="en-US" w:eastAsia="zh-CN"/>
              </w:rPr>
              <w:t>PC1(31dBm)</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vertAlign w:val="baseline"/>
                <w:lang w:val="en-US" w:eastAsia="zh-CN"/>
              </w:rPr>
              <w:t>PC1.5(29dBm)</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vertAlign w:val="baseline"/>
                <w:lang w:val="en-US" w:eastAsia="zh-CN"/>
              </w:rPr>
              <w:t>PC2(26dBm)</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vertAlign w:val="baseline"/>
                <w:lang w:val="en-US" w:eastAsia="zh-CN"/>
              </w:rPr>
              <w:t>PC3(23dBm)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2"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vertAlign w:val="baseline"/>
                <w:lang w:val="en-US" w:eastAsia="zh-CN"/>
              </w:rPr>
              <w:t>General</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vertAlign w:val="baseline"/>
                <w:lang w:val="en-US" w:eastAsia="zh-CN"/>
              </w:rPr>
              <w:t>1Tx</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highlight w:val="none"/>
                <w:vertAlign w:val="baseline"/>
                <w:lang w:val="en-US" w:eastAsia="zh-CN"/>
              </w:rPr>
              <w:t>2Tx</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vertAlign w:val="baseline"/>
                <w:lang w:val="en-US" w:eastAsia="zh-CN"/>
              </w:rPr>
              <w:t>1Tx</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vertAlign w:val="baseline"/>
                <w:lang w:val="en-US" w:eastAsia="zh-CN"/>
              </w:rPr>
              <w:t>1Tx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2"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vertAlign w:val="baseline"/>
                <w:lang w:val="en-US" w:eastAsia="zh-CN"/>
              </w:rPr>
              <w:t>UL MIMO</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vertAlign w:val="baseline"/>
                <w:lang w:val="en-US" w:eastAsia="zh-CN"/>
              </w:rPr>
              <w:t>NA</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vertAlign w:val="baseline"/>
                <w:lang w:val="en-US" w:eastAsia="zh-CN"/>
              </w:rPr>
              <w:t>2Tx/4Tx</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vertAlign w:val="baseline"/>
                <w:lang w:val="en-US" w:eastAsia="zh-CN"/>
              </w:rPr>
              <w:t>2Tx/4Tx</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vertAlign w:val="baseline"/>
                <w:lang w:val="en-US" w:eastAsia="zh-CN"/>
              </w:rPr>
              <w:t>2Tx/4Tx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2"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eastAsia" w:eastAsia="宋体"/>
                <w:vertAlign w:val="baseline"/>
                <w:lang w:val="en-US" w:eastAsia="zh-CN"/>
              </w:rPr>
            </w:pPr>
            <w:r>
              <w:rPr>
                <w:rFonts w:eastAsia="MS Mincho"/>
              </w:rPr>
              <w:t>Tx Diversity</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rPr>
                <w:rFonts w:hint="eastAsia" w:eastAsia="宋体"/>
                <w:vertAlign w:val="baseline"/>
                <w:lang w:val="en-US" w:eastAsia="zh-CN"/>
              </w:rPr>
              <w:t>NA</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eastAsia" w:eastAsia="宋体"/>
                <w:vertAlign w:val="baseline"/>
                <w:lang w:val="en-US" w:eastAsia="zh-CN"/>
              </w:rPr>
            </w:pPr>
            <w:r>
              <w:t>2Tx</w:t>
            </w:r>
            <w:r>
              <w:rPr>
                <w:rFonts w:hint="eastAsia" w:eastAsia="宋体"/>
                <w:lang w:val="en-US" w:eastAsia="zh-CN"/>
              </w:rPr>
              <w:t>/</w:t>
            </w:r>
            <w:r>
              <w:t>4Tx</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t>2Tx</w:t>
            </w:r>
          </w:p>
        </w:tc>
        <w:tc>
          <w:tcPr>
            <w:tcW w:w="1903"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line="240" w:lineRule="auto"/>
              <w:textAlignment w:val="auto"/>
              <w:rPr>
                <w:rFonts w:hint="default" w:eastAsia="宋体"/>
                <w:vertAlign w:val="baseline"/>
                <w:lang w:val="en-US" w:eastAsia="zh-CN"/>
              </w:rPr>
            </w:pPr>
            <w:r>
              <w:t>2Tx</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The general ACLR requirements is also defined for different power class in TS38.101-1 as shown below:</w:t>
      </w:r>
    </w:p>
    <w:p>
      <w:pPr>
        <w:pStyle w:val="39"/>
      </w:pPr>
      <w:r>
        <w:t>Table 6.5.2.4.1-2: NR ACLR requirement</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pPr>
          </w:p>
        </w:tc>
        <w:tc>
          <w:tcPr>
            <w:tcW w:w="1557"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vertAlign w:val="superscript"/>
              </w:rPr>
            </w:pPr>
            <w:r>
              <w:t>Power class 1</w:t>
            </w:r>
          </w:p>
        </w:tc>
        <w:tc>
          <w:tcPr>
            <w:tcW w:w="1557"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pPr>
            <w:r>
              <w:t>Power class 1.5</w:t>
            </w:r>
          </w:p>
        </w:tc>
        <w:tc>
          <w:tcPr>
            <w:tcW w:w="1407"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pPr>
            <w:r>
              <w:t>Power class 2</w:t>
            </w:r>
          </w:p>
        </w:tc>
        <w:tc>
          <w:tcPr>
            <w:tcW w:w="1407"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pPr>
            <w: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pStyle w:val="36"/>
              <w:keepNext/>
              <w:keepLines/>
              <w:pageBreakBefore w:val="0"/>
              <w:widowControl/>
              <w:kinsoku/>
              <w:wordWrap/>
              <w:overflowPunct/>
              <w:topLinePunct w:val="0"/>
              <w:autoSpaceDE/>
              <w:autoSpaceDN/>
              <w:bidi w:val="0"/>
              <w:adjustRightInd/>
              <w:snapToGrid w:val="0"/>
              <w:spacing w:after="0" w:line="240" w:lineRule="auto"/>
              <w:textAlignment w:val="auto"/>
            </w:pPr>
            <w:r>
              <w:t>NR ACLR</w:t>
            </w:r>
          </w:p>
        </w:tc>
        <w:tc>
          <w:tcPr>
            <w:tcW w:w="1557" w:type="dxa"/>
            <w:tcBorders>
              <w:top w:val="single" w:color="auto" w:sz="4" w:space="0"/>
              <w:left w:val="single" w:color="auto" w:sz="4" w:space="0"/>
              <w:bottom w:val="single" w:color="auto" w:sz="4" w:space="0"/>
              <w:right w:val="single" w:color="auto" w:sz="4" w:space="0"/>
            </w:tcBorders>
          </w:tcPr>
          <w:p>
            <w:pPr>
              <w:pStyle w:val="37"/>
              <w:keepNext/>
              <w:keepLines/>
              <w:pageBreakBefore w:val="0"/>
              <w:widowControl/>
              <w:kinsoku/>
              <w:wordWrap/>
              <w:overflowPunct/>
              <w:topLinePunct w:val="0"/>
              <w:autoSpaceDE/>
              <w:autoSpaceDN/>
              <w:bidi w:val="0"/>
              <w:adjustRightInd/>
              <w:snapToGrid w:val="0"/>
              <w:spacing w:after="0" w:line="240" w:lineRule="auto"/>
              <w:textAlignment w:val="auto"/>
            </w:pPr>
            <w:r>
              <w:t>37 dB</w:t>
            </w:r>
          </w:p>
        </w:tc>
        <w:tc>
          <w:tcPr>
            <w:tcW w:w="1557" w:type="dxa"/>
            <w:tcBorders>
              <w:top w:val="single" w:color="auto" w:sz="4" w:space="0"/>
              <w:left w:val="single" w:color="auto" w:sz="4" w:space="0"/>
              <w:bottom w:val="single" w:color="auto" w:sz="4" w:space="0"/>
              <w:right w:val="single" w:color="auto" w:sz="4" w:space="0"/>
            </w:tcBorders>
          </w:tcPr>
          <w:p>
            <w:pPr>
              <w:pStyle w:val="37"/>
              <w:keepNext/>
              <w:keepLines/>
              <w:pageBreakBefore w:val="0"/>
              <w:widowControl/>
              <w:kinsoku/>
              <w:wordWrap/>
              <w:overflowPunct/>
              <w:topLinePunct w:val="0"/>
              <w:autoSpaceDE/>
              <w:autoSpaceDN/>
              <w:bidi w:val="0"/>
              <w:adjustRightInd/>
              <w:snapToGrid w:val="0"/>
              <w:spacing w:after="0" w:line="240" w:lineRule="auto"/>
              <w:textAlignment w:val="auto"/>
            </w:pPr>
            <w:r>
              <w:t>31 dB</w:t>
            </w:r>
          </w:p>
        </w:tc>
        <w:tc>
          <w:tcPr>
            <w:tcW w:w="1407" w:type="dxa"/>
            <w:tcBorders>
              <w:top w:val="single" w:color="auto" w:sz="4" w:space="0"/>
              <w:left w:val="single" w:color="auto" w:sz="4" w:space="0"/>
              <w:bottom w:val="single" w:color="auto" w:sz="4" w:space="0"/>
              <w:right w:val="single" w:color="auto" w:sz="4" w:space="0"/>
            </w:tcBorders>
          </w:tcPr>
          <w:p>
            <w:pPr>
              <w:pStyle w:val="37"/>
              <w:keepNext/>
              <w:keepLines/>
              <w:pageBreakBefore w:val="0"/>
              <w:widowControl/>
              <w:kinsoku/>
              <w:wordWrap/>
              <w:overflowPunct/>
              <w:topLinePunct w:val="0"/>
              <w:autoSpaceDE/>
              <w:autoSpaceDN/>
              <w:bidi w:val="0"/>
              <w:adjustRightInd/>
              <w:snapToGrid w:val="0"/>
              <w:spacing w:after="0" w:line="240" w:lineRule="auto"/>
              <w:textAlignment w:val="auto"/>
            </w:pPr>
            <w:r>
              <w:t>31 dB</w:t>
            </w:r>
          </w:p>
        </w:tc>
        <w:tc>
          <w:tcPr>
            <w:tcW w:w="1407" w:type="dxa"/>
            <w:tcBorders>
              <w:top w:val="single" w:color="auto" w:sz="4" w:space="0"/>
              <w:left w:val="single" w:color="auto" w:sz="4" w:space="0"/>
              <w:bottom w:val="single" w:color="auto" w:sz="4" w:space="0"/>
              <w:right w:val="single" w:color="auto" w:sz="4" w:space="0"/>
            </w:tcBorders>
          </w:tcPr>
          <w:p>
            <w:pPr>
              <w:pStyle w:val="37"/>
              <w:keepNext/>
              <w:keepLines/>
              <w:pageBreakBefore w:val="0"/>
              <w:widowControl/>
              <w:kinsoku/>
              <w:wordWrap/>
              <w:overflowPunct/>
              <w:topLinePunct w:val="0"/>
              <w:autoSpaceDE/>
              <w:autoSpaceDN/>
              <w:bidi w:val="0"/>
              <w:adjustRightInd/>
              <w:snapToGrid w:val="0"/>
              <w:spacing w:after="0" w:line="240" w:lineRule="auto"/>
              <w:textAlignment w:val="auto"/>
            </w:pPr>
            <w: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954" w:type="dxa"/>
            <w:gridSpan w:val="5"/>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val="0"/>
              <w:spacing w:after="0" w:line="240" w:lineRule="auto"/>
              <w:textAlignment w:val="auto"/>
            </w:pPr>
            <w:r>
              <w:t>NOTE 1:</w:t>
            </w:r>
            <w:r>
              <w:tab/>
            </w:r>
            <w:r>
              <w:t>Void</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 xml:space="preserve">For UL MIMO and </w:t>
      </w:r>
      <w:r>
        <w:rPr>
          <w:rFonts w:eastAsia="MS Mincho"/>
        </w:rPr>
        <w:t>Tx Diversity</w:t>
      </w:r>
      <w:r>
        <w:rPr>
          <w:rFonts w:hint="eastAsia" w:eastAsia="宋体"/>
          <w:lang w:val="en-US" w:eastAsia="zh-CN"/>
        </w:rPr>
        <w:t xml:space="preserve"> scenarios with more than one antenna, it is stated that general ACLR requirements applies. It can be concluded that NR UE ACLR requirements are specified per power class, and can be applied to different number of antennas.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Observation 1: NR UE ACLR requirements are specified commonly regardless of the number of antennas per power class.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eastAsia="宋体" w:cs="Times New Roman"/>
          <w:lang w:val="en-US" w:eastAsia="zh-CN"/>
        </w:rPr>
      </w:pPr>
      <w:r>
        <w:rPr>
          <w:rFonts w:hint="eastAsia" w:eastAsia="宋体"/>
          <w:lang w:val="en-US" w:eastAsia="zh-CN"/>
        </w:rPr>
        <w:t xml:space="preserve">As the 1Tx PA configuration for </w:t>
      </w:r>
      <w:r>
        <w:t>public safety scenario</w:t>
      </w:r>
      <w:r>
        <w:rPr>
          <w:rFonts w:hint="eastAsia" w:eastAsia="宋体"/>
          <w:lang w:val="en-US" w:eastAsia="zh-CN"/>
        </w:rPr>
        <w:t xml:space="preserve"> is not suitable for typical UE, so that</w:t>
      </w:r>
      <w:r>
        <w:rPr>
          <w:rFonts w:hint="eastAsia" w:ascii="Times New Roman" w:hAnsi="Times New Roman" w:eastAsia="宋体" w:cs="Times New Roman"/>
          <w:lang w:val="en-US" w:eastAsia="zh-CN"/>
        </w:rPr>
        <w:t xml:space="preserve"> PC1 with 4Tx for </w:t>
      </w:r>
      <w:r>
        <w:rPr>
          <w:rFonts w:hint="eastAsia" w:eastAsia="宋体" w:cs="Times New Roman"/>
          <w:lang w:val="en-US" w:eastAsia="zh-CN"/>
        </w:rPr>
        <w:t>CPE/</w:t>
      </w:r>
      <w:r>
        <w:rPr>
          <w:rFonts w:hint="eastAsia" w:ascii="Times New Roman" w:hAnsi="Times New Roman" w:eastAsia="宋体" w:cs="Times New Roman"/>
          <w:lang w:val="en-US" w:eastAsia="zh-CN"/>
        </w:rPr>
        <w:t>FWA UE is assumed for further study in Rel</w:t>
      </w:r>
      <w:r>
        <w:rPr>
          <w:rFonts w:hint="eastAsia" w:eastAsia="宋体" w:cs="Times New Roman"/>
          <w:lang w:val="en-US" w:eastAsia="zh-CN"/>
        </w:rPr>
        <w:t>-</w:t>
      </w:r>
      <w:r>
        <w:rPr>
          <w:rFonts w:hint="eastAsia" w:ascii="Times New Roman" w:hAnsi="Times New Roman" w:eastAsia="宋体" w:cs="Times New Roman"/>
          <w:lang w:val="en-US" w:eastAsia="zh-CN"/>
        </w:rPr>
        <w:t>20. To implement 4Tx PC1, 4x26dBm PA configuration is then considered. Under the 4x26dBm PA configuration, it is tricky for us to decide whether legacy P</w:t>
      </w:r>
      <w:r>
        <w:rPr>
          <w:rFonts w:hint="eastAsia" w:eastAsia="宋体" w:cs="Times New Roman"/>
          <w:lang w:val="en-US" w:eastAsia="zh-CN"/>
        </w:rPr>
        <w:t>C</w:t>
      </w:r>
      <w:r>
        <w:rPr>
          <w:rFonts w:hint="eastAsia" w:ascii="Times New Roman" w:hAnsi="Times New Roman" w:eastAsia="宋体" w:cs="Times New Roman"/>
          <w:lang w:val="en-US" w:eastAsia="zh-CN"/>
        </w:rPr>
        <w:t>1 or a new power class</w:t>
      </w:r>
      <w:r>
        <w:rPr>
          <w:rFonts w:hint="eastAsia" w:eastAsia="宋体" w:cs="Times New Roman"/>
          <w:lang w:val="en-US" w:eastAsia="zh-CN"/>
        </w:rPr>
        <w:t xml:space="preserve"> </w:t>
      </w:r>
      <w:r>
        <w:rPr>
          <w:rFonts w:hint="eastAsia" w:ascii="Times New Roman" w:hAnsi="Times New Roman" w:eastAsia="宋体" w:cs="Times New Roman"/>
          <w:lang w:val="en-US" w:eastAsia="zh-CN"/>
        </w:rPr>
        <w:t>(32dbm) should be defined. In our opinion, the new introduced power class used for 4x26dBm PA configuration will impact the out of band emission requirements, so before the co-existence study for ACLR requirements for 4x26dBm PA configuration, the power class should be decided in advance</w:t>
      </w:r>
      <w:r>
        <w:rPr>
          <w:rFonts w:hint="eastAsia" w:eastAsia="宋体" w:cs="Times New Roman"/>
          <w:lang w:val="en-US" w:eastAsia="zh-CN"/>
        </w:rPr>
        <w:t>. I</w:t>
      </w:r>
      <w:r>
        <w:rPr>
          <w:rFonts w:hint="eastAsia" w:ascii="Times New Roman" w:hAnsi="Times New Roman" w:eastAsia="宋体" w:cs="Times New Roman"/>
          <w:lang w:val="en-US" w:eastAsia="zh-CN"/>
        </w:rPr>
        <w:t xml:space="preserve">f legacy PC1 is reused, then legacy ACLR requirement </w:t>
      </w:r>
      <w:r>
        <w:rPr>
          <w:rFonts w:hint="eastAsia" w:eastAsia="宋体" w:cs="Times New Roman"/>
          <w:lang w:val="en-US" w:eastAsia="zh-CN"/>
        </w:rPr>
        <w:t>could</w:t>
      </w:r>
      <w:r>
        <w:rPr>
          <w:rFonts w:hint="eastAsia" w:ascii="Times New Roman" w:hAnsi="Times New Roman" w:eastAsia="宋体" w:cs="Times New Roman"/>
          <w:lang w:val="en-US" w:eastAsia="zh-CN"/>
        </w:rPr>
        <w:t xml:space="preserve"> be reused, otherwise </w:t>
      </w:r>
      <w:r>
        <w:rPr>
          <w:rFonts w:hint="eastAsia" w:eastAsia="宋体" w:cs="Times New Roman"/>
          <w:lang w:val="en-US" w:eastAsia="zh-CN"/>
        </w:rPr>
        <w:t xml:space="preserve">the </w:t>
      </w:r>
      <w:r>
        <w:rPr>
          <w:rFonts w:hint="eastAsia" w:ascii="Times New Roman" w:hAnsi="Times New Roman" w:eastAsia="宋体" w:cs="Times New Roman"/>
          <w:lang w:val="en-US" w:eastAsia="zh-CN"/>
        </w:rPr>
        <w:t>ACLR requirement need to be re-evaluated.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ascii="Times New Roman" w:hAnsi="Times New Roman" w:eastAsia="等线"/>
          <w:b/>
          <w:bCs/>
          <w:sz w:val="20"/>
          <w:szCs w:val="20"/>
          <w:lang w:val="en-US" w:eastAsia="zh-CN"/>
        </w:rPr>
      </w:pPr>
      <w:r>
        <w:rPr>
          <w:rFonts w:hint="eastAsia" w:ascii="Times New Roman" w:hAnsi="Times New Roman" w:eastAsia="宋体" w:cs="Times New Roman"/>
          <w:b/>
          <w:bCs/>
          <w:lang w:val="en-US" w:eastAsia="zh-CN"/>
        </w:rPr>
        <w:t>Proposal</w:t>
      </w:r>
      <w:r>
        <w:rPr>
          <w:rFonts w:hint="eastAsia" w:eastAsia="宋体" w:cs="Times New Roman"/>
          <w:b/>
          <w:bCs/>
          <w:lang w:val="en-US" w:eastAsia="zh-CN"/>
        </w:rPr>
        <w:t xml:space="preserve"> </w:t>
      </w:r>
      <w:r>
        <w:rPr>
          <w:rFonts w:hint="eastAsia" w:ascii="Times New Roman" w:hAnsi="Times New Roman" w:eastAsia="宋体" w:cs="Times New Roman"/>
          <w:b/>
          <w:bCs/>
          <w:lang w:val="en-US" w:eastAsia="zh-CN"/>
        </w:rPr>
        <w:t>1: F</w:t>
      </w:r>
      <w:r>
        <w:rPr>
          <w:rFonts w:hint="eastAsia" w:ascii="Times New Roman" w:hAnsi="Times New Roman" w:eastAsia="等线"/>
          <w:b/>
          <w:bCs/>
          <w:sz w:val="20"/>
          <w:szCs w:val="20"/>
          <w:lang w:val="en-US" w:eastAsia="zh-CN"/>
        </w:rPr>
        <w:t xml:space="preserve">or </w:t>
      </w:r>
      <w:r>
        <w:rPr>
          <w:rFonts w:hint="eastAsia" w:ascii="Times New Roman" w:hAnsi="Times New Roman" w:eastAsia="宋体" w:cs="Times New Roman"/>
          <w:b/>
          <w:bCs/>
          <w:lang w:val="en-US" w:eastAsia="zh-CN"/>
        </w:rPr>
        <w:t>4x26dBm PA configuration, the power class should be decided in advance before A</w:t>
      </w:r>
      <w:r>
        <w:rPr>
          <w:rFonts w:hint="eastAsia" w:ascii="Times New Roman" w:hAnsi="Times New Roman" w:eastAsia="等线"/>
          <w:b/>
          <w:bCs/>
          <w:sz w:val="20"/>
          <w:szCs w:val="20"/>
        </w:rPr>
        <w:t>CLR requirements</w:t>
      </w:r>
      <w:r>
        <w:rPr>
          <w:rFonts w:hint="eastAsia" w:ascii="Times New Roman" w:hAnsi="Times New Roman" w:eastAsia="等线"/>
          <w:b/>
          <w:bCs/>
          <w:sz w:val="20"/>
          <w:szCs w:val="20"/>
          <w:lang w:val="en-US" w:eastAsia="zh-CN"/>
        </w:rPr>
        <w:t xml:space="preserve"> specifying, and: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eastAsia="宋体" w:cs="Times New Roman"/>
          <w:b/>
          <w:bCs/>
          <w:lang w:val="en-US" w:eastAsia="zh-CN"/>
        </w:rPr>
      </w:pPr>
      <w:r>
        <w:rPr>
          <w:rFonts w:hint="eastAsia" w:ascii="Times New Roman" w:hAnsi="Times New Roman" w:eastAsia="等线"/>
          <w:b/>
          <w:bCs/>
          <w:sz w:val="20"/>
          <w:szCs w:val="20"/>
          <w:lang w:val="en-US" w:eastAsia="zh-CN"/>
        </w:rPr>
        <w:tab/>
      </w:r>
      <w:r>
        <w:rPr>
          <w:rFonts w:hint="eastAsia" w:ascii="Times New Roman" w:hAnsi="Times New Roman" w:eastAsia="等线"/>
          <w:b/>
          <w:bCs/>
          <w:sz w:val="20"/>
          <w:szCs w:val="20"/>
          <w:lang w:val="en-US" w:eastAsia="zh-CN"/>
        </w:rPr>
        <w:t xml:space="preserve"> -</w:t>
      </w:r>
      <w:r>
        <w:rPr>
          <w:rFonts w:hint="eastAsia" w:eastAsia="等线"/>
          <w:b/>
          <w:bCs/>
          <w:sz w:val="20"/>
          <w:szCs w:val="20"/>
          <w:lang w:val="en-US" w:eastAsia="zh-CN"/>
        </w:rPr>
        <w:t xml:space="preserve"> </w:t>
      </w:r>
      <w:r>
        <w:rPr>
          <w:rFonts w:hint="eastAsia" w:ascii="Times New Roman" w:hAnsi="Times New Roman" w:eastAsia="等线"/>
          <w:b/>
          <w:bCs/>
          <w:sz w:val="20"/>
          <w:szCs w:val="20"/>
          <w:lang w:val="en-US" w:eastAsia="zh-CN"/>
        </w:rPr>
        <w:t xml:space="preserve">If PC1 is considered </w:t>
      </w:r>
      <w:r>
        <w:rPr>
          <w:rFonts w:hint="eastAsia" w:ascii="Times New Roman" w:hAnsi="Times New Roman" w:eastAsia="宋体" w:cs="Times New Roman"/>
          <w:b/>
          <w:bCs/>
          <w:lang w:val="en-US" w:eastAsia="zh-CN"/>
        </w:rPr>
        <w:t xml:space="preserve">, the legacy ACLR requirement for 1Tx PC1 </w:t>
      </w:r>
      <w:r>
        <w:rPr>
          <w:rFonts w:hint="eastAsia" w:eastAsia="宋体" w:cs="Times New Roman"/>
          <w:b/>
          <w:bCs/>
          <w:lang w:val="en-US" w:eastAsia="zh-CN"/>
        </w:rPr>
        <w:t>could be</w:t>
      </w:r>
      <w:r>
        <w:rPr>
          <w:rFonts w:hint="eastAsia" w:ascii="Times New Roman" w:hAnsi="Times New Roman" w:eastAsia="宋体" w:cs="Times New Roman"/>
          <w:b/>
          <w:bCs/>
          <w:lang w:val="en-US" w:eastAsia="zh-CN"/>
        </w:rPr>
        <w:t xml:space="preserve"> reused for 4Tx PC1</w:t>
      </w:r>
      <w:r>
        <w:rPr>
          <w:rFonts w:hint="eastAsia" w:eastAsia="宋体" w:cs="Times New Roman"/>
          <w:b/>
          <w:bCs/>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   -</w:t>
      </w:r>
      <w:r>
        <w:rPr>
          <w:rFonts w:hint="eastAsia" w:eastAsia="宋体" w:cs="Times New Roman"/>
          <w:b/>
          <w:bCs/>
          <w:lang w:val="en-US" w:eastAsia="zh-CN"/>
        </w:rPr>
        <w:t xml:space="preserve"> </w:t>
      </w:r>
      <w:r>
        <w:rPr>
          <w:rFonts w:hint="eastAsia" w:ascii="Times New Roman" w:hAnsi="Times New Roman" w:eastAsia="宋体" w:cs="Times New Roman"/>
          <w:b/>
          <w:bCs/>
          <w:lang w:val="en-US" w:eastAsia="zh-CN"/>
        </w:rPr>
        <w:t>If new Power Class</w:t>
      </w:r>
      <w:r>
        <w:rPr>
          <w:rFonts w:hint="eastAsia" w:eastAsia="宋体" w:cs="Times New Roman"/>
          <w:b/>
          <w:bCs/>
          <w:lang w:val="en-US" w:eastAsia="zh-CN"/>
        </w:rPr>
        <w:t xml:space="preserve"> </w:t>
      </w:r>
      <w:r>
        <w:rPr>
          <w:rFonts w:hint="eastAsia" w:ascii="Times New Roman" w:hAnsi="Times New Roman" w:eastAsia="宋体" w:cs="Times New Roman"/>
          <w:b/>
          <w:bCs/>
          <w:lang w:val="en-US" w:eastAsia="zh-CN"/>
        </w:rPr>
        <w:t>(32dBm) is defined, then the ACLR requirement need to be re-evaluated</w:t>
      </w:r>
      <w:r>
        <w:rPr>
          <w:rFonts w:hint="eastAsia" w:eastAsia="宋体" w:cs="Times New Roman"/>
          <w:b/>
          <w:bCs/>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eastAsia="宋体" w:cs="Times New Roman"/>
          <w:b/>
          <w:bCs/>
          <w:lang w:val="en-US" w:eastAsia="zh-CN"/>
        </w:rPr>
      </w:pPr>
    </w:p>
    <w:p>
      <w:pPr>
        <w:pStyle w:val="3"/>
        <w:keepNext/>
        <w:keepLines w:val="0"/>
        <w:pageBreakBefore w:val="0"/>
        <w:widowControl/>
        <w:kinsoku/>
        <w:wordWrap/>
        <w:overflowPunct/>
        <w:topLinePunct w:val="0"/>
        <w:autoSpaceDE/>
        <w:autoSpaceDN/>
        <w:bidi w:val="0"/>
        <w:adjustRightInd/>
        <w:snapToGrid w:val="0"/>
        <w:spacing w:before="0" w:after="157" w:afterLines="50" w:line="240" w:lineRule="auto"/>
        <w:textAlignment w:val="auto"/>
        <w:rPr>
          <w:rFonts w:hint="default"/>
          <w:lang w:val="en-US" w:eastAsia="zh-CN"/>
        </w:rPr>
      </w:pPr>
      <w:r>
        <w:rPr>
          <w:rFonts w:hint="eastAsia"/>
          <w:lang w:val="en-US" w:eastAsia="zh-CN"/>
        </w:rPr>
        <w:t>2.2 Coexistence simulation assumptions if needed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Assuming ACLR re</w:t>
      </w:r>
      <w:r>
        <w:rPr>
          <w:rFonts w:hint="eastAsia" w:eastAsia="宋体"/>
          <w:highlight w:val="none"/>
          <w:lang w:val="en-US" w:eastAsia="zh-CN"/>
        </w:rPr>
        <w:t>quirement needs to be re-evaluated fo</w:t>
      </w:r>
      <w:r>
        <w:rPr>
          <w:rFonts w:hint="eastAsia" w:ascii="Times New Roman" w:hAnsi="Times New Roman" w:eastAsia="宋体" w:cs="Times New Roman"/>
          <w:highlight w:val="none"/>
          <w:lang w:val="en-US" w:eastAsia="zh-CN"/>
        </w:rPr>
        <w:t xml:space="preserve">r 4x26dBm PA configuration, </w:t>
      </w:r>
      <w:r>
        <w:rPr>
          <w:rFonts w:hint="eastAsia" w:eastAsia="宋体"/>
          <w:highlight w:val="none"/>
          <w:lang w:val="en-US" w:eastAsia="zh-CN"/>
        </w:rPr>
        <w:t xml:space="preserve">some coexistence study should be conducted. Coexistence study for HPUE in sub 1G band such as </w:t>
      </w:r>
      <w:r>
        <w:rPr>
          <w:highlight w:val="none"/>
        </w:rPr>
        <w:t>Band 12, Band 5, and Band n71</w:t>
      </w:r>
      <w:r>
        <w:rPr>
          <w:rFonts w:hint="eastAsia" w:eastAsia="宋体"/>
          <w:highlight w:val="none"/>
          <w:lang w:val="en-US" w:eastAsia="zh-CN"/>
        </w:rPr>
        <w:t xml:space="preserve"> has been specified in TR 37.880,</w:t>
      </w:r>
      <w:r>
        <w:rPr>
          <w:rFonts w:hint="eastAsia" w:eastAsia="宋体"/>
          <w:lang w:val="en-US" w:eastAsia="zh-CN"/>
        </w:rPr>
        <w:t xml:space="preserve"> and the simulation assumptions can be </w:t>
      </w:r>
      <w:r>
        <w:rPr>
          <w:rFonts w:hint="eastAsia" w:ascii="Times New Roman" w:hAnsi="Times New Roman" w:eastAsia="宋体" w:cs="Times New Roman"/>
          <w:lang w:val="en-US" w:eastAsia="zh-CN"/>
        </w:rPr>
        <w:t>referred</w:t>
      </w:r>
      <w:r>
        <w:rPr>
          <w:rFonts w:hint="eastAsia" w:eastAsia="宋体" w:cs="Times New Roman"/>
          <w:lang w:val="en-US" w:eastAsia="zh-CN"/>
        </w:rPr>
        <w:t xml:space="preserve"> to</w:t>
      </w:r>
      <w:r>
        <w:rPr>
          <w:rFonts w:hint="eastAsia" w:eastAsia="宋体"/>
          <w:lang w:val="en-US" w:eastAsia="zh-CN"/>
        </w:rPr>
        <w:t xml:space="preserve"> as starting point, then we can just focus on identifying the differences which need to be revised.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Proposal 2: Coexistence simulation assumptions for HPUE in TR37.880 can be referred to</w:t>
      </w:r>
      <w:bookmarkStart w:id="1" w:name="_GoBack"/>
      <w:bookmarkEnd w:id="1"/>
      <w:r>
        <w:rPr>
          <w:rFonts w:hint="eastAsia" w:eastAsia="宋体"/>
          <w:b/>
          <w:bCs/>
          <w:lang w:val="en-US" w:eastAsia="zh-CN"/>
        </w:rPr>
        <w:t xml:space="preserve"> as starting point.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eastAsia="宋体"/>
          <w:lang w:val="en-US" w:eastAsia="zh-CN"/>
        </w:rPr>
        <w:t>To check whether the models or parameters defined for BS, HPUE and Normal UE can be reused or not, we provide a summary in Table 2 as below.</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b/>
          <w:bCs/>
          <w:lang w:val="en-US" w:eastAsia="zh-CN"/>
        </w:rPr>
      </w:pPr>
      <w:r>
        <w:rPr>
          <w:rFonts w:hint="eastAsia" w:eastAsia="宋体"/>
          <w:b/>
          <w:bCs/>
          <w:lang w:val="en-US" w:eastAsia="zh-CN"/>
        </w:rPr>
        <w:t>Table 2 summary of the model or parameters for legacy HPUE coexistence simulation assumption check</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9"/>
        <w:gridCol w:w="1311"/>
        <w:gridCol w:w="5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jc w:val="left"/>
              <w:textAlignment w:val="auto"/>
              <w:rPr>
                <w:rFonts w:hint="default" w:eastAsia="宋体"/>
                <w:b/>
                <w:bCs/>
                <w:vertAlign w:val="baseline"/>
                <w:lang w:val="en-US" w:eastAsia="zh-CN"/>
              </w:rPr>
            </w:pPr>
            <w:r>
              <w:rPr>
                <w:rFonts w:hint="eastAsia" w:eastAsia="宋体"/>
                <w:b/>
                <w:bCs/>
                <w:vertAlign w:val="baseline"/>
                <w:lang w:val="en-US" w:eastAsia="zh-CN"/>
              </w:rPr>
              <w:t>Legacy HPUE simulation assumption</w:t>
            </w:r>
          </w:p>
        </w:tc>
        <w:tc>
          <w:tcPr>
            <w:tcW w:w="131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jc w:val="left"/>
              <w:textAlignment w:val="auto"/>
              <w:rPr>
                <w:rFonts w:hint="default" w:eastAsia="宋体"/>
                <w:b/>
                <w:bCs/>
                <w:vertAlign w:val="baseline"/>
                <w:lang w:val="en-US" w:eastAsia="zh-CN"/>
              </w:rPr>
            </w:pPr>
            <w:r>
              <w:rPr>
                <w:rFonts w:hint="eastAsia" w:eastAsia="宋体"/>
                <w:b/>
                <w:bCs/>
                <w:vertAlign w:val="baseline"/>
                <w:lang w:val="en-US" w:eastAsia="zh-CN"/>
              </w:rPr>
              <w:t>Whether to reuse or not</w:t>
            </w:r>
          </w:p>
        </w:tc>
        <w:tc>
          <w:tcPr>
            <w:tcW w:w="588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jc w:val="left"/>
              <w:textAlignment w:val="auto"/>
              <w:rPr>
                <w:rFonts w:hint="default" w:eastAsia="宋体"/>
                <w:b/>
                <w:bCs/>
                <w:vertAlign w:val="baseline"/>
                <w:lang w:val="en-US" w:eastAsia="zh-CN"/>
              </w:rPr>
            </w:pPr>
            <w:r>
              <w:rPr>
                <w:rFonts w:hint="eastAsia" w:eastAsia="宋体"/>
                <w:b/>
                <w:bCs/>
                <w:vertAlign w:val="baseline"/>
                <w:lang w:val="en-US" w:eastAsia="zh-CN"/>
              </w:rPr>
              <w:t>Reversion 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vertAlign w:val="baseline"/>
                <w:lang w:val="en-US" w:eastAsia="zh-CN"/>
              </w:rPr>
            </w:pPr>
            <w:r>
              <w:t>coexistence scenarios</w:t>
            </w:r>
          </w:p>
        </w:tc>
        <w:tc>
          <w:tcPr>
            <w:tcW w:w="131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vertAlign w:val="baseline"/>
                <w:lang w:val="en-US" w:eastAsia="zh-CN"/>
              </w:rPr>
            </w:pPr>
            <w:r>
              <w:rPr>
                <w:rFonts w:hint="eastAsia" w:eastAsia="宋体"/>
                <w:vertAlign w:val="baseline"/>
                <w:lang w:val="en-US" w:eastAsia="zh-CN"/>
              </w:rPr>
              <w:t>Partial</w:t>
            </w:r>
          </w:p>
        </w:tc>
        <w:tc>
          <w:tcPr>
            <w:tcW w:w="588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eastAsia" w:eastAsia="宋体"/>
                <w:highlight w:val="none"/>
                <w:vertAlign w:val="baseline"/>
                <w:lang w:val="en-US" w:eastAsia="zh-CN"/>
              </w:rPr>
            </w:pPr>
            <w:r>
              <w:rPr>
                <w:rFonts w:hint="eastAsia" w:eastAsia="宋体"/>
                <w:highlight w:val="none"/>
                <w:lang w:val="en-US" w:eastAsia="zh-CN"/>
              </w:rPr>
              <w:t>We focus on UL HPUEs interfere normal NR UE in adjacent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vertAlign w:val="baseline"/>
                <w:lang w:val="en-US" w:eastAsia="zh-CN"/>
              </w:rPr>
            </w:pPr>
            <w:r>
              <w:rPr>
                <w:lang w:eastAsia="en-GB"/>
              </w:rPr>
              <w:t>Macro cell Propagation model</w:t>
            </w:r>
          </w:p>
        </w:tc>
        <w:tc>
          <w:tcPr>
            <w:tcW w:w="131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vertAlign w:val="baseline"/>
                <w:lang w:val="en-US" w:eastAsia="zh-CN"/>
              </w:rPr>
            </w:pPr>
            <w:r>
              <w:rPr>
                <w:rFonts w:hint="eastAsia" w:eastAsia="宋体"/>
                <w:vertAlign w:val="baseline"/>
                <w:lang w:val="en-US" w:eastAsia="zh-CN"/>
              </w:rPr>
              <w:t>Yes</w:t>
            </w:r>
          </w:p>
        </w:tc>
        <w:tc>
          <w:tcPr>
            <w:tcW w:w="5884" w:type="dxa"/>
          </w:tcPr>
          <w:p>
            <w:pPr>
              <w:keepLines/>
              <w:pageBreakBefore w:val="0"/>
              <w:widowControl/>
              <w:tabs>
                <w:tab w:val="center" w:pos="4536"/>
                <w:tab w:val="right" w:pos="9072"/>
              </w:tabs>
              <w:kinsoku/>
              <w:wordWrap/>
              <w:overflowPunct w:val="0"/>
              <w:topLinePunct w:val="0"/>
              <w:autoSpaceDE w:val="0"/>
              <w:autoSpaceDN w:val="0"/>
              <w:bidi w:val="0"/>
              <w:adjustRightInd w:val="0"/>
              <w:snapToGrid w:val="0"/>
              <w:spacing w:before="60" w:after="60" w:line="240" w:lineRule="auto"/>
              <w:jc w:val="center"/>
              <w:textAlignment w:val="baseline"/>
              <w:rPr>
                <w:highlight w:val="none"/>
                <w:lang w:val="da-DK" w:eastAsia="en-GB"/>
              </w:rPr>
            </w:pPr>
            <w:r>
              <w:rPr>
                <w:highlight w:val="none"/>
                <w:lang w:val="da-DK" w:eastAsia="en-GB"/>
              </w:rPr>
              <w:t>L (R)=  69.55 +26.16log</w:t>
            </w:r>
            <w:r>
              <w:rPr>
                <w:highlight w:val="none"/>
                <w:vertAlign w:val="subscript"/>
                <w:lang w:val="da-DK" w:eastAsia="en-GB"/>
              </w:rPr>
              <w:t>10</w:t>
            </w:r>
            <w:r>
              <w:rPr>
                <w:highlight w:val="none"/>
                <w:lang w:val="da-DK" w:eastAsia="en-GB"/>
              </w:rPr>
              <w:t>(f)–13.82log</w:t>
            </w:r>
            <w:r>
              <w:rPr>
                <w:highlight w:val="none"/>
                <w:vertAlign w:val="subscript"/>
                <w:lang w:val="da-DK" w:eastAsia="en-GB"/>
              </w:rPr>
              <w:t>10</w:t>
            </w:r>
            <w:r>
              <w:rPr>
                <w:highlight w:val="none"/>
                <w:lang w:val="da-DK" w:eastAsia="en-GB"/>
              </w:rPr>
              <w:t>(Hb)+[44.9-6.55log</w:t>
            </w:r>
            <w:r>
              <w:rPr>
                <w:highlight w:val="none"/>
                <w:vertAlign w:val="subscript"/>
                <w:lang w:val="da-DK" w:eastAsia="en-GB"/>
              </w:rPr>
              <w:t>10</w:t>
            </w:r>
            <w:r>
              <w:rPr>
                <w:highlight w:val="none"/>
                <w:lang w:val="da-DK" w:eastAsia="en-GB"/>
              </w:rPr>
              <w:t>(Hb)]log(R)  – 4.78(log</w:t>
            </w:r>
            <w:r>
              <w:rPr>
                <w:highlight w:val="none"/>
                <w:vertAlign w:val="subscript"/>
                <w:lang w:val="da-DK" w:eastAsia="en-GB"/>
              </w:rPr>
              <w:t>10</w:t>
            </w:r>
            <w:r>
              <w:rPr>
                <w:highlight w:val="none"/>
                <w:lang w:val="da-DK" w:eastAsia="en-GB"/>
              </w:rPr>
              <w:t xml:space="preserve"> (f))</w:t>
            </w:r>
            <w:r>
              <w:rPr>
                <w:highlight w:val="none"/>
                <w:vertAlign w:val="superscript"/>
                <w:lang w:val="da-DK" w:eastAsia="en-GB"/>
              </w:rPr>
              <w:t>2</w:t>
            </w:r>
            <w:r>
              <w:rPr>
                <w:highlight w:val="none"/>
                <w:lang w:val="da-DK" w:eastAsia="en-GB"/>
              </w:rPr>
              <w:t>+18.33 log</w:t>
            </w:r>
            <w:r>
              <w:rPr>
                <w:highlight w:val="none"/>
                <w:vertAlign w:val="subscript"/>
                <w:lang w:val="da-DK" w:eastAsia="en-GB"/>
              </w:rPr>
              <w:t>10</w:t>
            </w:r>
            <w:r>
              <w:rPr>
                <w:highlight w:val="none"/>
                <w:lang w:val="da-DK" w:eastAsia="en-GB"/>
              </w:rPr>
              <w:t xml:space="preserve"> (f) -40.94</w:t>
            </w:r>
          </w:p>
          <w:p>
            <w:pPr>
              <w:pageBreakBefore w:val="0"/>
              <w:widowControl/>
              <w:kinsoku/>
              <w:wordWrap/>
              <w:overflowPunct w:val="0"/>
              <w:topLinePunct w:val="0"/>
              <w:autoSpaceDE w:val="0"/>
              <w:autoSpaceDN w:val="0"/>
              <w:bidi w:val="0"/>
              <w:adjustRightInd w:val="0"/>
              <w:snapToGrid w:val="0"/>
              <w:spacing w:before="60" w:after="60" w:line="240" w:lineRule="auto"/>
              <w:textAlignment w:val="baseline"/>
              <w:rPr>
                <w:highlight w:val="none"/>
                <w:lang w:eastAsia="en-GB"/>
              </w:rPr>
            </w:pPr>
            <w:r>
              <w:rPr>
                <w:highlight w:val="none"/>
                <w:lang w:eastAsia="en-GB"/>
              </w:rPr>
              <w:t>where:</w:t>
            </w:r>
          </w:p>
          <w:p>
            <w:pPr>
              <w:pageBreakBefore w:val="0"/>
              <w:widowControl/>
              <w:kinsoku/>
              <w:wordWrap/>
              <w:overflowPunct w:val="0"/>
              <w:topLinePunct w:val="0"/>
              <w:autoSpaceDE w:val="0"/>
              <w:autoSpaceDN w:val="0"/>
              <w:bidi w:val="0"/>
              <w:adjustRightInd w:val="0"/>
              <w:snapToGrid w:val="0"/>
              <w:spacing w:before="60" w:after="60" w:line="240" w:lineRule="auto"/>
              <w:ind w:firstLine="400" w:firstLineChars="200"/>
              <w:textAlignment w:val="baseline"/>
              <w:rPr>
                <w:highlight w:val="none"/>
                <w:lang w:eastAsia="en-GB"/>
              </w:rPr>
            </w:pPr>
            <w:r>
              <w:rPr>
                <w:highlight w:val="none"/>
                <w:lang w:eastAsia="en-GB"/>
              </w:rPr>
              <w:t>R is the base station-UE separation in kilometres</w:t>
            </w:r>
          </w:p>
          <w:p>
            <w:pPr>
              <w:pageBreakBefore w:val="0"/>
              <w:widowControl/>
              <w:kinsoku/>
              <w:wordWrap/>
              <w:overflowPunct w:val="0"/>
              <w:topLinePunct w:val="0"/>
              <w:autoSpaceDE w:val="0"/>
              <w:autoSpaceDN w:val="0"/>
              <w:bidi w:val="0"/>
              <w:adjustRightInd w:val="0"/>
              <w:snapToGrid w:val="0"/>
              <w:spacing w:before="60" w:after="60" w:line="240" w:lineRule="auto"/>
              <w:ind w:firstLine="400" w:firstLineChars="200"/>
              <w:textAlignment w:val="baseline"/>
              <w:rPr>
                <w:highlight w:val="none"/>
                <w:lang w:eastAsia="en-GB"/>
              </w:rPr>
            </w:pPr>
            <w:r>
              <w:rPr>
                <w:highlight w:val="none"/>
                <w:lang w:eastAsia="en-GB"/>
              </w:rPr>
              <w:t>f is the carrier frequency in MHz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ind w:firstLine="400" w:firstLineChars="200"/>
              <w:textAlignment w:val="auto"/>
              <w:rPr>
                <w:rFonts w:hint="eastAsia" w:eastAsia="宋体"/>
                <w:highlight w:val="none"/>
                <w:vertAlign w:val="baseline"/>
                <w:lang w:val="en-US" w:eastAsia="zh-CN"/>
              </w:rPr>
            </w:pPr>
            <w:r>
              <w:rPr>
                <w:highlight w:val="none"/>
                <w:lang w:eastAsia="en-GB"/>
              </w:rPr>
              <w:t>Hb is the base station antenna height above ground in metres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ind w:firstLine="400" w:firstLineChars="200"/>
              <w:textAlignment w:val="auto"/>
              <w:rPr>
                <w:rFonts w:hint="default" w:eastAsia="宋体"/>
                <w:highlight w:val="none"/>
                <w:vertAlign w:val="baseline"/>
                <w:lang w:val="en-US" w:eastAsia="zh-CN"/>
              </w:rPr>
            </w:pPr>
            <w:r>
              <w:rPr>
                <w:rFonts w:hint="eastAsia" w:eastAsia="宋体"/>
                <w:highlight w:val="none"/>
                <w:vertAlign w:val="baseline"/>
                <w:lang w:val="en-US" w:eastAsia="zh-CN"/>
              </w:rPr>
              <w:t>Center Frequency f is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lang w:eastAsia="en-GB"/>
              </w:rPr>
            </w:pPr>
            <w:r>
              <w:rPr>
                <w:lang w:eastAsia="en-GB"/>
              </w:rPr>
              <w:t>Power control modelling</w:t>
            </w:r>
          </w:p>
        </w:tc>
        <w:tc>
          <w:tcPr>
            <w:tcW w:w="131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vertAlign w:val="baseline"/>
                <w:lang w:val="en-US" w:eastAsia="zh-CN"/>
              </w:rPr>
            </w:pPr>
            <w:r>
              <w:rPr>
                <w:rFonts w:hint="eastAsia" w:eastAsia="宋体"/>
                <w:vertAlign w:val="baseline"/>
                <w:lang w:val="en-US" w:eastAsia="zh-CN"/>
              </w:rPr>
              <w:t>Yes</w:t>
            </w:r>
          </w:p>
        </w:tc>
        <w:tc>
          <w:tcPr>
            <w:tcW w:w="588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Ansi="Cambria Math"/>
                <w:i w:val="0"/>
                <w:highlight w:val="none"/>
                <w:lang w:eastAsia="en-GB"/>
              </w:rPr>
            </w:pPr>
            <m:oMathPara>
              <m:oMath>
                <m:sSub>
                  <m:sSubPr>
                    <m:ctrlPr>
                      <w:rPr>
                        <w:rFonts w:ascii="Cambria Math" w:hAnsi="Cambria Math"/>
                        <w:i/>
                        <w:highlight w:val="none"/>
                        <w:lang w:eastAsia="en-GB"/>
                      </w:rPr>
                    </m:ctrlPr>
                  </m:sSubPr>
                  <m:e>
                    <m:r>
                      <m:rPr/>
                      <w:rPr>
                        <w:rFonts w:ascii="Cambria Math"/>
                        <w:highlight w:val="none"/>
                        <w:lang w:eastAsia="en-GB"/>
                      </w:rPr>
                      <m:t>P</m:t>
                    </m:r>
                    <m:ctrlPr>
                      <w:rPr>
                        <w:rFonts w:ascii="Cambria Math" w:hAnsi="Cambria Math"/>
                        <w:i/>
                        <w:highlight w:val="none"/>
                        <w:lang w:eastAsia="en-GB"/>
                      </w:rPr>
                    </m:ctrlPr>
                  </m:e>
                  <m:sub>
                    <m:r>
                      <m:rPr/>
                      <w:rPr>
                        <w:rFonts w:ascii="Cambria Math"/>
                        <w:highlight w:val="none"/>
                        <w:lang w:eastAsia="en-GB"/>
                      </w:rPr>
                      <m:t>t</m:t>
                    </m:r>
                    <m:ctrlPr>
                      <w:rPr>
                        <w:rFonts w:ascii="Cambria Math" w:hAnsi="Cambria Math"/>
                        <w:i/>
                        <w:highlight w:val="none"/>
                        <w:lang w:eastAsia="en-GB"/>
                      </w:rPr>
                    </m:ctrlPr>
                  </m:sub>
                </m:sSub>
                <m:r>
                  <m:rPr/>
                  <w:rPr>
                    <w:rFonts w:ascii="Cambria Math"/>
                    <w:highlight w:val="none"/>
                    <w:lang w:eastAsia="en-GB"/>
                  </w:rPr>
                  <m:t>=</m:t>
                </m:r>
                <m:func>
                  <m:funcPr>
                    <m:ctrlPr>
                      <w:rPr>
                        <w:rFonts w:ascii="Cambria Math" w:hAnsi="Cambria Math"/>
                        <w:i/>
                        <w:highlight w:val="none"/>
                        <w:lang w:eastAsia="en-GB"/>
                      </w:rPr>
                    </m:ctrlPr>
                  </m:funcPr>
                  <m:fName>
                    <m:sSub>
                      <m:sSubPr>
                        <m:ctrlPr>
                          <w:rPr>
                            <w:rFonts w:ascii="Cambria Math" w:hAnsi="Cambria Math"/>
                            <w:i/>
                            <w:highlight w:val="none"/>
                            <w:lang w:eastAsia="en-GB"/>
                          </w:rPr>
                        </m:ctrlPr>
                      </m:sSubPr>
                      <m:e>
                        <m:r>
                          <m:rPr/>
                          <w:rPr>
                            <w:rFonts w:ascii="Cambria Math"/>
                            <w:highlight w:val="none"/>
                            <w:lang w:eastAsia="en-GB"/>
                          </w:rPr>
                          <m:t>P</m:t>
                        </m:r>
                        <m:ctrlPr>
                          <w:rPr>
                            <w:rFonts w:ascii="Cambria Math" w:hAnsi="Cambria Math"/>
                            <w:i/>
                            <w:highlight w:val="none"/>
                            <w:lang w:eastAsia="en-GB"/>
                          </w:rPr>
                        </m:ctrlPr>
                      </m:e>
                      <m:sub>
                        <m:r>
                          <m:rPr/>
                          <w:rPr>
                            <w:rFonts w:ascii="Cambria Math"/>
                            <w:highlight w:val="none"/>
                            <w:lang w:eastAsia="en-GB"/>
                          </w:rPr>
                          <m:t>max</m:t>
                        </m:r>
                        <m:ctrlPr>
                          <w:rPr>
                            <w:rFonts w:ascii="Cambria Math" w:hAnsi="Cambria Math"/>
                            <w:i/>
                            <w:highlight w:val="none"/>
                            <w:lang w:eastAsia="en-GB"/>
                          </w:rPr>
                        </m:ctrlPr>
                      </m:sub>
                    </m:sSub>
                    <m:r>
                      <m:rPr/>
                      <w:rPr>
                        <w:rFonts w:ascii="Cambria Math" w:hAnsi="Cambria Math"/>
                        <w:highlight w:val="none"/>
                        <w:lang w:eastAsia="en-GB"/>
                      </w:rPr>
                      <m:t>×</m:t>
                    </m:r>
                    <m:r>
                      <m:rPr/>
                      <w:rPr>
                        <w:rFonts w:ascii="Cambria Math"/>
                        <w:highlight w:val="none"/>
                        <w:lang w:eastAsia="en-GB"/>
                      </w:rPr>
                      <m:t>min</m:t>
                    </m:r>
                    <m:ctrlPr>
                      <w:rPr>
                        <w:rFonts w:ascii="Cambria Math" w:hAnsi="Cambria Math"/>
                        <w:i/>
                        <w:highlight w:val="none"/>
                        <w:lang w:eastAsia="en-GB"/>
                      </w:rPr>
                    </m:ctrlPr>
                  </m:fName>
                  <m:e>
                    <m:d>
                      <m:dPr>
                        <m:begChr m:val="{"/>
                        <m:endChr m:val="}"/>
                        <m:ctrlPr>
                          <w:rPr>
                            <w:rFonts w:ascii="Cambria Math" w:hAnsi="Cambria Math"/>
                            <w:i/>
                            <w:highlight w:val="none"/>
                            <w:lang w:eastAsia="en-GB"/>
                          </w:rPr>
                        </m:ctrlPr>
                      </m:dPr>
                      <m:e>
                        <m:r>
                          <m:rPr/>
                          <w:rPr>
                            <w:rFonts w:ascii="Cambria Math"/>
                            <w:highlight w:val="none"/>
                            <w:lang w:eastAsia="en-GB"/>
                          </w:rPr>
                          <m:t>1,</m:t>
                        </m:r>
                        <m:func>
                          <m:funcPr>
                            <m:ctrlPr>
                              <w:rPr>
                                <w:rFonts w:ascii="Cambria Math" w:hAnsi="Cambria Math"/>
                                <w:i/>
                                <w:highlight w:val="none"/>
                                <w:lang w:eastAsia="en-GB"/>
                              </w:rPr>
                            </m:ctrlPr>
                          </m:funcPr>
                          <m:fName>
                            <m:r>
                              <m:rPr/>
                              <w:rPr>
                                <w:rFonts w:ascii="Cambria Math"/>
                                <w:highlight w:val="none"/>
                                <w:lang w:eastAsia="en-GB"/>
                              </w:rPr>
                              <m:t>max</m:t>
                            </m:r>
                            <m:ctrlPr>
                              <w:rPr>
                                <w:rFonts w:ascii="Cambria Math" w:hAnsi="Cambria Math"/>
                                <w:i/>
                                <w:highlight w:val="none"/>
                                <w:lang w:eastAsia="en-GB"/>
                              </w:rPr>
                            </m:ctrlPr>
                          </m:fName>
                          <m:e>
                            <m:d>
                              <m:dPr>
                                <m:begChr m:val="["/>
                                <m:endChr m:val="]"/>
                                <m:ctrlPr>
                                  <w:rPr>
                                    <w:rFonts w:ascii="Cambria Math" w:hAnsi="Cambria Math"/>
                                    <w:i/>
                                    <w:highlight w:val="none"/>
                                    <w:lang w:eastAsia="en-GB"/>
                                  </w:rPr>
                                </m:ctrlPr>
                              </m:dPr>
                              <m:e>
                                <m:sSub>
                                  <m:sSubPr>
                                    <m:ctrlPr>
                                      <w:rPr>
                                        <w:rFonts w:ascii="Cambria Math" w:hAnsi="Cambria Math"/>
                                        <w:i/>
                                        <w:highlight w:val="none"/>
                                        <w:lang w:eastAsia="en-GB"/>
                                      </w:rPr>
                                    </m:ctrlPr>
                                  </m:sSubPr>
                                  <m:e>
                                    <m:r>
                                      <m:rPr/>
                                      <w:rPr>
                                        <w:rFonts w:ascii="Cambria Math"/>
                                        <w:highlight w:val="none"/>
                                        <w:lang w:eastAsia="en-GB"/>
                                      </w:rPr>
                                      <m:t>R</m:t>
                                    </m:r>
                                    <m:ctrlPr>
                                      <w:rPr>
                                        <w:rFonts w:ascii="Cambria Math" w:hAnsi="Cambria Math"/>
                                        <w:i/>
                                        <w:highlight w:val="none"/>
                                        <w:lang w:eastAsia="en-GB"/>
                                      </w:rPr>
                                    </m:ctrlPr>
                                  </m:e>
                                  <m:sub>
                                    <m:r>
                                      <m:rPr/>
                                      <w:rPr>
                                        <w:rFonts w:ascii="Cambria Math"/>
                                        <w:highlight w:val="none"/>
                                        <w:lang w:eastAsia="en-GB"/>
                                      </w:rPr>
                                      <m:t>min</m:t>
                                    </m:r>
                                    <m:ctrlPr>
                                      <w:rPr>
                                        <w:rFonts w:ascii="Cambria Math" w:hAnsi="Cambria Math"/>
                                        <w:i/>
                                        <w:highlight w:val="none"/>
                                        <w:lang w:eastAsia="en-GB"/>
                                      </w:rPr>
                                    </m:ctrlPr>
                                  </m:sub>
                                </m:sSub>
                                <m:r>
                                  <m:rPr/>
                                  <w:rPr>
                                    <w:rFonts w:ascii="Cambria Math"/>
                                    <w:highlight w:val="none"/>
                                    <w:lang w:eastAsia="en-GB"/>
                                  </w:rPr>
                                  <m:t>,</m:t>
                                </m:r>
                                <m:sSup>
                                  <m:sSupPr>
                                    <m:ctrlPr>
                                      <w:rPr>
                                        <w:rFonts w:ascii="Cambria Math" w:hAnsi="Cambria Math"/>
                                        <w:i/>
                                        <w:highlight w:val="none"/>
                                        <w:lang w:eastAsia="en-GB"/>
                                      </w:rPr>
                                    </m:ctrlPr>
                                  </m:sSupPr>
                                  <m:e>
                                    <m:d>
                                      <m:dPr>
                                        <m:ctrlPr>
                                          <w:rPr>
                                            <w:rFonts w:ascii="Cambria Math" w:hAnsi="Cambria Math"/>
                                            <w:i/>
                                            <w:highlight w:val="none"/>
                                            <w:lang w:eastAsia="en-GB"/>
                                          </w:rPr>
                                        </m:ctrlPr>
                                      </m:dPr>
                                      <m:e>
                                        <m:f>
                                          <m:fPr>
                                            <m:ctrlPr>
                                              <w:rPr>
                                                <w:rFonts w:ascii="Cambria Math" w:hAnsi="Cambria Math"/>
                                                <w:i/>
                                                <w:highlight w:val="none"/>
                                                <w:lang w:eastAsia="en-GB"/>
                                              </w:rPr>
                                            </m:ctrlPr>
                                          </m:fPr>
                                          <m:num>
                                            <m:r>
                                              <m:rPr/>
                                              <w:rPr>
                                                <w:rFonts w:ascii="Cambria Math"/>
                                                <w:highlight w:val="none"/>
                                                <w:lang w:eastAsia="en-GB"/>
                                              </w:rPr>
                                              <m:t>CL</m:t>
                                            </m:r>
                                            <m:ctrlPr>
                                              <w:rPr>
                                                <w:rFonts w:ascii="Cambria Math" w:hAnsi="Cambria Math"/>
                                                <w:i/>
                                                <w:highlight w:val="none"/>
                                                <w:lang w:eastAsia="en-GB"/>
                                              </w:rPr>
                                            </m:ctrlPr>
                                          </m:num>
                                          <m:den>
                                            <m:r>
                                              <m:rPr/>
                                              <w:rPr>
                                                <w:rFonts w:ascii="Cambria Math"/>
                                                <w:highlight w:val="none"/>
                                                <w:lang w:eastAsia="en-GB"/>
                                              </w:rPr>
                                              <m:t>C</m:t>
                                            </m:r>
                                            <m:sSub>
                                              <m:sSubPr>
                                                <m:ctrlPr>
                                                  <w:rPr>
                                                    <w:rFonts w:ascii="Cambria Math" w:hAnsi="Cambria Math"/>
                                                    <w:i/>
                                                    <w:highlight w:val="none"/>
                                                    <w:lang w:eastAsia="en-GB"/>
                                                  </w:rPr>
                                                </m:ctrlPr>
                                              </m:sSubPr>
                                              <m:e>
                                                <m:r>
                                                  <m:rPr/>
                                                  <w:rPr>
                                                    <w:rFonts w:ascii="Cambria Math"/>
                                                    <w:highlight w:val="none"/>
                                                    <w:lang w:eastAsia="en-GB"/>
                                                  </w:rPr>
                                                  <m:t>L</m:t>
                                                </m:r>
                                                <m:ctrlPr>
                                                  <w:rPr>
                                                    <w:rFonts w:ascii="Cambria Math" w:hAnsi="Cambria Math"/>
                                                    <w:i/>
                                                    <w:highlight w:val="none"/>
                                                    <w:lang w:eastAsia="en-GB"/>
                                                  </w:rPr>
                                                </m:ctrlPr>
                                              </m:e>
                                              <m:sub>
                                                <m:r>
                                                  <m:rPr/>
                                                  <w:rPr>
                                                    <w:rFonts w:ascii="Cambria Math"/>
                                                    <w:highlight w:val="none"/>
                                                    <w:lang w:eastAsia="en-GB"/>
                                                  </w:rPr>
                                                  <m:t>x−ile</m:t>
                                                </m:r>
                                                <m:ctrlPr>
                                                  <w:rPr>
                                                    <w:rFonts w:ascii="Cambria Math" w:hAnsi="Cambria Math"/>
                                                    <w:i/>
                                                    <w:highlight w:val="none"/>
                                                    <w:lang w:eastAsia="en-GB"/>
                                                  </w:rPr>
                                                </m:ctrlPr>
                                              </m:sub>
                                            </m:sSub>
                                            <m:ctrlPr>
                                              <w:rPr>
                                                <w:rFonts w:ascii="Cambria Math" w:hAnsi="Cambria Math"/>
                                                <w:i/>
                                                <w:highlight w:val="none"/>
                                                <w:lang w:eastAsia="en-GB"/>
                                              </w:rPr>
                                            </m:ctrlPr>
                                          </m:den>
                                        </m:f>
                                        <m:ctrlPr>
                                          <w:rPr>
                                            <w:rFonts w:ascii="Cambria Math" w:hAnsi="Cambria Math"/>
                                            <w:i/>
                                            <w:highlight w:val="none"/>
                                            <w:lang w:eastAsia="en-GB"/>
                                          </w:rPr>
                                        </m:ctrlPr>
                                      </m:e>
                                    </m:d>
                                    <m:ctrlPr>
                                      <w:rPr>
                                        <w:rFonts w:ascii="Cambria Math" w:hAnsi="Cambria Math"/>
                                        <w:i/>
                                        <w:highlight w:val="none"/>
                                        <w:lang w:eastAsia="en-GB"/>
                                      </w:rPr>
                                    </m:ctrlPr>
                                  </m:e>
                                  <m:sup>
                                    <m:r>
                                      <m:rPr/>
                                      <w:rPr>
                                        <w:rFonts w:ascii="Cambria Math" w:hAnsi="Cambria Math"/>
                                        <w:highlight w:val="none"/>
                                        <w:lang w:eastAsia="en-GB"/>
                                      </w:rPr>
                                      <m:t>γ</m:t>
                                    </m:r>
                                    <m:ctrlPr>
                                      <w:rPr>
                                        <w:rFonts w:ascii="Cambria Math" w:hAnsi="Cambria Math"/>
                                        <w:i/>
                                        <w:highlight w:val="none"/>
                                        <w:lang w:eastAsia="en-GB"/>
                                      </w:rPr>
                                    </m:ctrlPr>
                                  </m:sup>
                                </m:sSup>
                                <m:ctrlPr>
                                  <w:rPr>
                                    <w:rFonts w:ascii="Cambria Math" w:hAnsi="Cambria Math"/>
                                    <w:i/>
                                    <w:highlight w:val="none"/>
                                    <w:lang w:eastAsia="en-GB"/>
                                  </w:rPr>
                                </m:ctrlPr>
                              </m:e>
                            </m:d>
                            <m:ctrlPr>
                              <w:rPr>
                                <w:rFonts w:ascii="Cambria Math" w:hAnsi="Cambria Math"/>
                                <w:i/>
                                <w:highlight w:val="none"/>
                                <w:lang w:eastAsia="en-GB"/>
                              </w:rPr>
                            </m:ctrlPr>
                          </m:e>
                        </m:func>
                        <m:ctrlPr>
                          <w:rPr>
                            <w:rFonts w:ascii="Cambria Math" w:hAnsi="Cambria Math"/>
                            <w:i/>
                            <w:highlight w:val="none"/>
                            <w:lang w:eastAsia="en-GB"/>
                          </w:rPr>
                        </m:ctrlPr>
                      </m:e>
                    </m:d>
                    <m:ctrlPr>
                      <w:rPr>
                        <w:rFonts w:ascii="Cambria Math" w:hAnsi="Cambria Math"/>
                        <w:i/>
                        <w:highlight w:val="none"/>
                        <w:lang w:eastAsia="en-GB"/>
                      </w:rPr>
                    </m:ctrlPr>
                  </m:e>
                </m:func>
              </m:oMath>
            </m:oMathPara>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hAnsi="Cambria Math" w:eastAsia="宋体"/>
                <w:i w:val="0"/>
                <w:highlight w:val="none"/>
                <w:lang w:val="en-US" w:eastAsia="zh-CN"/>
              </w:rPr>
            </w:pPr>
            <w:r>
              <w:rPr>
                <w:i/>
                <w:highlight w:val="none"/>
                <w:lang w:eastAsia="zh-CN"/>
              </w:rPr>
              <w:t>CL</w:t>
            </w:r>
            <w:r>
              <w:rPr>
                <w:i/>
                <w:highlight w:val="none"/>
                <w:vertAlign w:val="subscript"/>
                <w:lang w:eastAsia="en-GB"/>
              </w:rPr>
              <w:t>x-</w:t>
            </w:r>
            <w:r>
              <w:rPr>
                <w:highlight w:val="none"/>
                <w:vertAlign w:val="subscript"/>
                <w:lang w:eastAsia="en-GB"/>
              </w:rPr>
              <w:t>ile</w:t>
            </w:r>
            <w:r>
              <w:rPr>
                <w:rFonts w:hint="eastAsia" w:eastAsia="宋体"/>
                <w:highlight w:val="none"/>
                <w:vertAlign w:val="subscript"/>
                <w:lang w:val="en-US" w:eastAsia="zh-CN"/>
              </w:rPr>
              <w:t xml:space="preserve"> </w:t>
            </w:r>
            <w:r>
              <w:rPr>
                <w:rFonts w:hint="eastAsia" w:ascii="Times New Roman" w:hAnsi="Times New Roman" w:eastAsia="宋体" w:cs="Times New Roman"/>
                <w:highlight w:val="none"/>
                <w:lang w:val="en-US" w:eastAsia="zh-CN"/>
              </w:rPr>
              <w:t>need to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ascii="Times New Roman" w:hAnsi="Times New Roman" w:cs="Times New Roman"/>
                <w:lang w:eastAsia="en-GB"/>
              </w:rPr>
            </w:pPr>
            <w:r>
              <w:rPr>
                <w:rFonts w:ascii="Times New Roman" w:hAnsi="Times New Roman" w:cs="Times New Roman"/>
                <w:lang w:eastAsia="en-GB"/>
              </w:rPr>
              <w:t>Cell layout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vertAlign w:val="baseline"/>
                <w:lang w:val="en-US" w:eastAsia="zh-CN"/>
              </w:rPr>
            </w:pPr>
          </w:p>
        </w:tc>
        <w:tc>
          <w:tcPr>
            <w:tcW w:w="131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vertAlign w:val="baseline"/>
                <w:lang w:val="en-US" w:eastAsia="zh-CN"/>
              </w:rPr>
            </w:pPr>
            <w:r>
              <w:rPr>
                <w:rFonts w:hint="eastAsia" w:eastAsia="宋体"/>
                <w:vertAlign w:val="baseline"/>
                <w:lang w:val="en-US" w:eastAsia="zh-CN"/>
              </w:rPr>
              <w:t>Yes</w:t>
            </w:r>
          </w:p>
        </w:tc>
        <w:tc>
          <w:tcPr>
            <w:tcW w:w="5884" w:type="dxa"/>
          </w:tcPr>
          <w:p>
            <w:pPr>
              <w:pStyle w:val="39"/>
              <w:pageBreakBefore w:val="0"/>
              <w:widowControl/>
              <w:kinsoku/>
              <w:wordWrap/>
              <w:topLinePunct w:val="0"/>
              <w:bidi w:val="0"/>
              <w:adjustRightInd w:val="0"/>
              <w:snapToGrid w:val="0"/>
              <w:spacing w:before="60" w:after="60" w:line="240" w:lineRule="auto"/>
            </w:pPr>
            <w:r>
              <w:drawing>
                <wp:inline distT="0" distB="0" distL="0" distR="0">
                  <wp:extent cx="2571750" cy="1864995"/>
                  <wp:effectExtent l="0" t="0" r="381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571750" cy="1864995"/>
                          </a:xfrm>
                          <a:prstGeom prst="rect">
                            <a:avLst/>
                          </a:prstGeom>
                          <a:noFill/>
                          <a:ln>
                            <a:noFill/>
                          </a:ln>
                        </pic:spPr>
                      </pic:pic>
                    </a:graphicData>
                  </a:graphic>
                </wp:inline>
              </w:drawing>
            </w:r>
          </w:p>
          <w:p>
            <w:pPr>
              <w:pStyle w:val="63"/>
              <w:pageBreakBefore w:val="0"/>
              <w:widowControl/>
              <w:kinsoku/>
              <w:wordWrap/>
              <w:topLinePunct w:val="0"/>
              <w:bidi w:val="0"/>
              <w:adjustRightInd w:val="0"/>
              <w:snapToGrid w:val="0"/>
              <w:spacing w:before="60" w:after="60" w:line="240" w:lineRule="auto"/>
              <w:rPr>
                <w:rFonts w:hint="default" w:eastAsia="宋体"/>
                <w:vertAlign w:val="baseline"/>
                <w:lang w:val="en-US" w:eastAsia="zh-CN"/>
              </w:rPr>
            </w:pPr>
            <w:bookmarkStart w:id="0" w:name="_Ref322615849"/>
            <w:r>
              <w:t xml:space="preserve">Figure </w:t>
            </w:r>
            <w:bookmarkEnd w:id="0"/>
            <w:r>
              <w:t>5.1.5-1 Multi system cell layout with different cell radius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vertAlign w:val="baseline"/>
                <w:lang w:val="en-US" w:eastAsia="zh-CN"/>
              </w:rPr>
            </w:pPr>
            <w:r>
              <w:rPr>
                <w:rFonts w:hint="eastAsia" w:eastAsia="宋体"/>
                <w:lang w:val="en-US" w:eastAsia="zh-CN"/>
              </w:rPr>
              <w:t>Other s</w:t>
            </w:r>
            <w:r>
              <w:t>imulation parameters</w:t>
            </w:r>
          </w:p>
        </w:tc>
        <w:tc>
          <w:tcPr>
            <w:tcW w:w="131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highlight w:val="none"/>
                <w:vertAlign w:val="baseline"/>
                <w:lang w:val="en-US" w:eastAsia="zh-CN"/>
              </w:rPr>
            </w:pPr>
            <w:r>
              <w:rPr>
                <w:rFonts w:hint="eastAsia" w:eastAsia="宋体"/>
                <w:highlight w:val="none"/>
                <w:vertAlign w:val="baseline"/>
                <w:lang w:val="en-US" w:eastAsia="zh-CN"/>
              </w:rPr>
              <w:t>No</w:t>
            </w:r>
          </w:p>
        </w:tc>
        <w:tc>
          <w:tcPr>
            <w:tcW w:w="588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highlight w:val="none"/>
                <w:vertAlign w:val="baseline"/>
                <w:lang w:val="en-US" w:eastAsia="zh-CN"/>
              </w:rPr>
            </w:pPr>
            <w:r>
              <w:rPr>
                <w:rFonts w:hint="eastAsia" w:eastAsia="宋体"/>
                <w:highlight w:val="none"/>
                <w:vertAlign w:val="baseline"/>
                <w:lang w:val="en-US" w:eastAsia="zh-CN"/>
              </w:rPr>
              <w:t xml:space="preserve">Including </w:t>
            </w:r>
            <w:r>
              <w:rPr>
                <w:rFonts w:hint="eastAsia" w:eastAsia="宋体"/>
                <w:highlight w:val="none"/>
                <w:lang w:val="en-US" w:eastAsia="zh-CN"/>
              </w:rPr>
              <w:t>center frequency, bandwidth, antenna array configurations which need to be reconfirmed</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rPr>
          <w:rFonts w:hint="eastAsia" w:cs="Times New Roman"/>
          <w:b/>
          <w:bCs/>
          <w:i w:val="0"/>
          <w:iCs w:val="0"/>
          <w:sz w:val="20"/>
          <w:szCs w:val="20"/>
          <w:highlight w:val="none"/>
          <w:lang w:val="en-US" w:eastAsia="zh-CN"/>
        </w:rPr>
        <w:t xml:space="preserve">Proposal 3: To consider the </w:t>
      </w:r>
      <w:r>
        <w:rPr>
          <w:rFonts w:hint="eastAsia" w:eastAsia="宋体"/>
          <w:b/>
          <w:bCs/>
          <w:lang w:val="en-US" w:eastAsia="zh-CN"/>
        </w:rPr>
        <w:t>legacy HPUE coexistence simulation assumptions check listed in table 2.</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kinsoku/>
        <w:wordWrap/>
        <w:overflowPunct/>
        <w:topLinePunct w:val="0"/>
        <w:autoSpaceDE/>
        <w:autoSpaceDN/>
        <w:bidi w:val="0"/>
        <w:adjustRightInd/>
        <w:snapToGrid w:val="0"/>
        <w:spacing w:before="120" w:after="120" w:line="240" w:lineRule="auto"/>
        <w:textAlignment w:val="auto"/>
        <w:rPr>
          <w:rFonts w:hint="eastAsia"/>
          <w:sz w:val="20"/>
          <w:szCs w:val="20"/>
          <w:highlight w:val="none"/>
          <w:lang w:val="en-US" w:eastAsia="zh-CN"/>
        </w:rPr>
      </w:pPr>
      <w:r>
        <w:rPr>
          <w:rFonts w:hint="eastAsia"/>
          <w:sz w:val="20"/>
          <w:szCs w:val="20"/>
          <w:highlight w:val="none"/>
          <w:lang w:val="en-US" w:eastAsia="zh-CN"/>
        </w:rPr>
        <w:t xml:space="preserve">In this contribution, some initial views </w:t>
      </w:r>
      <w:r>
        <w:rPr>
          <w:rFonts w:hint="eastAsia" w:ascii="Times New Roman" w:hAnsi="Times New Roman" w:cs="Times New Roman"/>
          <w:sz w:val="20"/>
          <w:szCs w:val="20"/>
          <w:highlight w:val="none"/>
          <w:lang w:val="en-US" w:eastAsia="zh-CN"/>
        </w:rPr>
        <w:t xml:space="preserve">on </w:t>
      </w:r>
      <w:r>
        <w:rPr>
          <w:rFonts w:hint="default" w:ascii="Times New Roman" w:hAnsi="Times New Roman" w:cs="Times New Roman"/>
          <w:sz w:val="20"/>
          <w:szCs w:val="20"/>
          <w:highlight w:val="none"/>
          <w:lang w:val="en-US" w:eastAsia="ja-JP"/>
        </w:rPr>
        <w:t>HPUE coexistence study</w:t>
      </w:r>
      <w:r>
        <w:rPr>
          <w:rFonts w:hint="eastAsia"/>
          <w:sz w:val="20"/>
          <w:szCs w:val="20"/>
          <w:highlight w:val="none"/>
          <w:lang w:val="en-US" w:eastAsia="zh-CN"/>
        </w:rPr>
        <w:t xml:space="preserve"> are provided and some observations and proposals are made as following:</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Observation 1: NR UE ACLR requirements are specified commonly regardless of the number of antenna per power class.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ascii="Times New Roman" w:hAnsi="Times New Roman" w:eastAsia="等线"/>
          <w:b/>
          <w:bCs/>
          <w:sz w:val="20"/>
          <w:szCs w:val="20"/>
          <w:lang w:val="en-US" w:eastAsia="zh-CN"/>
        </w:rPr>
      </w:pPr>
      <w:r>
        <w:rPr>
          <w:rFonts w:hint="eastAsia" w:ascii="Times New Roman" w:hAnsi="Times New Roman" w:eastAsia="宋体" w:cs="Times New Roman"/>
          <w:b/>
          <w:bCs/>
          <w:lang w:val="en-US" w:eastAsia="zh-CN"/>
        </w:rPr>
        <w:t>Proposal</w:t>
      </w:r>
      <w:r>
        <w:rPr>
          <w:rFonts w:hint="eastAsia" w:eastAsia="宋体" w:cs="Times New Roman"/>
          <w:b/>
          <w:bCs/>
          <w:lang w:val="en-US" w:eastAsia="zh-CN"/>
        </w:rPr>
        <w:t xml:space="preserve"> </w:t>
      </w:r>
      <w:r>
        <w:rPr>
          <w:rFonts w:hint="eastAsia" w:ascii="Times New Roman" w:hAnsi="Times New Roman" w:eastAsia="宋体" w:cs="Times New Roman"/>
          <w:b/>
          <w:bCs/>
          <w:lang w:val="en-US" w:eastAsia="zh-CN"/>
        </w:rPr>
        <w:t>1: F</w:t>
      </w:r>
      <w:r>
        <w:rPr>
          <w:rFonts w:hint="eastAsia" w:ascii="Times New Roman" w:hAnsi="Times New Roman" w:eastAsia="等线"/>
          <w:b/>
          <w:bCs/>
          <w:sz w:val="20"/>
          <w:szCs w:val="20"/>
          <w:lang w:val="en-US" w:eastAsia="zh-CN"/>
        </w:rPr>
        <w:t xml:space="preserve">or </w:t>
      </w:r>
      <w:r>
        <w:rPr>
          <w:rFonts w:hint="eastAsia" w:ascii="Times New Roman" w:hAnsi="Times New Roman" w:eastAsia="宋体" w:cs="Times New Roman"/>
          <w:b/>
          <w:bCs/>
          <w:lang w:val="en-US" w:eastAsia="zh-CN"/>
        </w:rPr>
        <w:t>4x26dBm PA configuration, the power class should be decided in advance before A</w:t>
      </w:r>
      <w:r>
        <w:rPr>
          <w:rFonts w:hint="eastAsia" w:ascii="Times New Roman" w:hAnsi="Times New Roman" w:eastAsia="等线"/>
          <w:b/>
          <w:bCs/>
          <w:sz w:val="20"/>
          <w:szCs w:val="20"/>
        </w:rPr>
        <w:t>CLR requirements</w:t>
      </w:r>
      <w:r>
        <w:rPr>
          <w:rFonts w:hint="eastAsia" w:ascii="Times New Roman" w:hAnsi="Times New Roman" w:eastAsia="等线"/>
          <w:b/>
          <w:bCs/>
          <w:sz w:val="20"/>
          <w:szCs w:val="20"/>
          <w:lang w:val="en-US" w:eastAsia="zh-CN"/>
        </w:rPr>
        <w:t xml:space="preserve"> specifying, and: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eastAsia="宋体" w:cs="Times New Roman"/>
          <w:b/>
          <w:bCs/>
          <w:lang w:val="en-US" w:eastAsia="zh-CN"/>
        </w:rPr>
      </w:pPr>
      <w:r>
        <w:rPr>
          <w:rFonts w:hint="eastAsia" w:ascii="Times New Roman" w:hAnsi="Times New Roman" w:eastAsia="等线"/>
          <w:b/>
          <w:bCs/>
          <w:sz w:val="20"/>
          <w:szCs w:val="20"/>
          <w:lang w:val="en-US" w:eastAsia="zh-CN"/>
        </w:rPr>
        <w:tab/>
      </w:r>
      <w:r>
        <w:rPr>
          <w:rFonts w:hint="eastAsia" w:ascii="Times New Roman" w:hAnsi="Times New Roman" w:eastAsia="等线"/>
          <w:b/>
          <w:bCs/>
          <w:sz w:val="20"/>
          <w:szCs w:val="20"/>
          <w:lang w:val="en-US" w:eastAsia="zh-CN"/>
        </w:rPr>
        <w:t xml:space="preserve"> -</w:t>
      </w:r>
      <w:r>
        <w:rPr>
          <w:rFonts w:hint="eastAsia" w:eastAsia="等线"/>
          <w:b/>
          <w:bCs/>
          <w:sz w:val="20"/>
          <w:szCs w:val="20"/>
          <w:lang w:val="en-US" w:eastAsia="zh-CN"/>
        </w:rPr>
        <w:t xml:space="preserve"> </w:t>
      </w:r>
      <w:r>
        <w:rPr>
          <w:rFonts w:hint="eastAsia" w:ascii="Times New Roman" w:hAnsi="Times New Roman" w:eastAsia="等线"/>
          <w:b/>
          <w:bCs/>
          <w:sz w:val="20"/>
          <w:szCs w:val="20"/>
          <w:lang w:val="en-US" w:eastAsia="zh-CN"/>
        </w:rPr>
        <w:t xml:space="preserve">If PC1 is considered </w:t>
      </w:r>
      <w:r>
        <w:rPr>
          <w:rFonts w:hint="eastAsia" w:ascii="Times New Roman" w:hAnsi="Times New Roman" w:eastAsia="宋体" w:cs="Times New Roman"/>
          <w:b/>
          <w:bCs/>
          <w:lang w:val="en-US" w:eastAsia="zh-CN"/>
        </w:rPr>
        <w:t xml:space="preserve">, the legacy ACLR requirement for 1Tx PC1 </w:t>
      </w:r>
      <w:r>
        <w:rPr>
          <w:rFonts w:hint="eastAsia" w:eastAsia="宋体" w:cs="Times New Roman"/>
          <w:b/>
          <w:bCs/>
          <w:lang w:val="en-US" w:eastAsia="zh-CN"/>
        </w:rPr>
        <w:t>could be</w:t>
      </w:r>
      <w:r>
        <w:rPr>
          <w:rFonts w:hint="eastAsia" w:ascii="Times New Roman" w:hAnsi="Times New Roman" w:eastAsia="宋体" w:cs="Times New Roman"/>
          <w:b/>
          <w:bCs/>
          <w:lang w:val="en-US" w:eastAsia="zh-CN"/>
        </w:rPr>
        <w:t xml:space="preserve"> reused for 4Tx PC1</w:t>
      </w:r>
      <w:r>
        <w:rPr>
          <w:rFonts w:hint="eastAsia" w:eastAsia="宋体" w:cs="Times New Roman"/>
          <w:b/>
          <w:bCs/>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   -</w:t>
      </w:r>
      <w:r>
        <w:rPr>
          <w:rFonts w:hint="eastAsia" w:eastAsia="宋体" w:cs="Times New Roman"/>
          <w:b/>
          <w:bCs/>
          <w:lang w:val="en-US" w:eastAsia="zh-CN"/>
        </w:rPr>
        <w:t xml:space="preserve"> </w:t>
      </w:r>
      <w:r>
        <w:rPr>
          <w:rFonts w:hint="eastAsia" w:ascii="Times New Roman" w:hAnsi="Times New Roman" w:eastAsia="宋体" w:cs="Times New Roman"/>
          <w:b/>
          <w:bCs/>
          <w:lang w:val="en-US" w:eastAsia="zh-CN"/>
        </w:rPr>
        <w:t>If new Power Class</w:t>
      </w:r>
      <w:r>
        <w:rPr>
          <w:rFonts w:hint="eastAsia" w:eastAsia="宋体" w:cs="Times New Roman"/>
          <w:b/>
          <w:bCs/>
          <w:lang w:val="en-US" w:eastAsia="zh-CN"/>
        </w:rPr>
        <w:t xml:space="preserve"> </w:t>
      </w:r>
      <w:r>
        <w:rPr>
          <w:rFonts w:hint="eastAsia" w:ascii="Times New Roman" w:hAnsi="Times New Roman" w:eastAsia="宋体" w:cs="Times New Roman"/>
          <w:b/>
          <w:bCs/>
          <w:lang w:val="en-US" w:eastAsia="zh-CN"/>
        </w:rPr>
        <w:t>(32dBm) is defined, then the ACLR requirement need to be re-evaluated</w:t>
      </w:r>
      <w:r>
        <w:rPr>
          <w:rFonts w:hint="eastAsia" w:eastAsia="宋体" w:cs="Times New Roman"/>
          <w:b/>
          <w:bCs/>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ascii="Times New Roman" w:hAnsi="Times New Roman" w:eastAsia="宋体" w:cs="Times New Roman"/>
          <w:b/>
          <w:bCs/>
          <w:lang w:val="en-US" w:eastAsia="zh-CN"/>
        </w:rPr>
      </w:pPr>
      <w:r>
        <w:rPr>
          <w:rFonts w:hint="eastAsia" w:eastAsia="宋体"/>
          <w:b/>
          <w:bCs/>
          <w:lang w:val="en-US" w:eastAsia="zh-CN"/>
        </w:rPr>
        <w:t>Proposal 2: Coexistence simulation assumptions for HPUE in TR37.880 can be referred to as starting point.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bCs/>
          <w:lang w:val="en-US" w:eastAsia="zh-CN"/>
        </w:rPr>
      </w:pPr>
      <w:r>
        <w:rPr>
          <w:rFonts w:hint="eastAsia" w:cs="Times New Roman"/>
          <w:b/>
          <w:bCs/>
          <w:i w:val="0"/>
          <w:iCs w:val="0"/>
          <w:sz w:val="20"/>
          <w:szCs w:val="20"/>
          <w:highlight w:val="none"/>
          <w:lang w:val="en-US" w:eastAsia="zh-CN"/>
        </w:rPr>
        <w:t xml:space="preserve">Proposal 3: To consider the </w:t>
      </w:r>
      <w:r>
        <w:rPr>
          <w:rFonts w:hint="eastAsia" w:eastAsia="宋体"/>
          <w:b/>
          <w:bCs/>
          <w:lang w:val="en-US" w:eastAsia="zh-CN"/>
        </w:rPr>
        <w:t>legacy HPUE coexistence simulation assumptions check listed in table 2.</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lang w:val="en-US" w:eastAsia="zh-CN"/>
        </w:rPr>
      </w:pPr>
      <w:r>
        <w:rPr>
          <w:rFonts w:hint="eastAsia" w:eastAsia="宋体"/>
          <w:lang w:val="en-US" w:eastAsia="zh-CN"/>
        </w:rPr>
        <w:t xml:space="preserve">Table 2 summary of the model or parameters for legacy HPUE coexistence </w:t>
      </w:r>
      <w:r>
        <w:rPr>
          <w:rFonts w:hint="eastAsia" w:eastAsia="宋体"/>
          <w:b w:val="0"/>
          <w:bCs w:val="0"/>
          <w:lang w:val="en-US" w:eastAsia="zh-CN"/>
        </w:rPr>
        <w:t xml:space="preserve">simulation </w:t>
      </w:r>
      <w:r>
        <w:rPr>
          <w:rFonts w:hint="eastAsia" w:eastAsia="宋体"/>
          <w:lang w:val="en-US" w:eastAsia="zh-CN"/>
        </w:rPr>
        <w:t>assumption check</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9"/>
        <w:gridCol w:w="1311"/>
        <w:gridCol w:w="5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jc w:val="left"/>
              <w:textAlignment w:val="auto"/>
              <w:rPr>
                <w:rFonts w:hint="default" w:eastAsia="宋体"/>
                <w:b/>
                <w:bCs/>
                <w:highlight w:val="none"/>
                <w:vertAlign w:val="baseline"/>
                <w:lang w:val="en-US" w:eastAsia="zh-CN"/>
              </w:rPr>
            </w:pPr>
            <w:r>
              <w:rPr>
                <w:rFonts w:hint="eastAsia" w:eastAsia="宋体"/>
                <w:b/>
                <w:bCs/>
                <w:highlight w:val="none"/>
                <w:vertAlign w:val="baseline"/>
                <w:lang w:val="en-US" w:eastAsia="zh-CN"/>
              </w:rPr>
              <w:t>Legacy HPUE simulation assumption</w:t>
            </w:r>
          </w:p>
        </w:tc>
        <w:tc>
          <w:tcPr>
            <w:tcW w:w="131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jc w:val="left"/>
              <w:textAlignment w:val="auto"/>
              <w:rPr>
                <w:rFonts w:hint="default" w:eastAsia="宋体"/>
                <w:b/>
                <w:bCs/>
                <w:highlight w:val="none"/>
                <w:vertAlign w:val="baseline"/>
                <w:lang w:val="en-US" w:eastAsia="zh-CN"/>
              </w:rPr>
            </w:pPr>
            <w:r>
              <w:rPr>
                <w:rFonts w:hint="eastAsia" w:eastAsia="宋体"/>
                <w:b/>
                <w:bCs/>
                <w:highlight w:val="none"/>
                <w:vertAlign w:val="baseline"/>
                <w:lang w:val="en-US" w:eastAsia="zh-CN"/>
              </w:rPr>
              <w:t>Whether to reuse or not</w:t>
            </w:r>
          </w:p>
        </w:tc>
        <w:tc>
          <w:tcPr>
            <w:tcW w:w="588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jc w:val="left"/>
              <w:textAlignment w:val="auto"/>
              <w:rPr>
                <w:rFonts w:hint="default" w:eastAsia="宋体"/>
                <w:b/>
                <w:bCs/>
                <w:highlight w:val="none"/>
                <w:vertAlign w:val="baseline"/>
                <w:lang w:val="en-US" w:eastAsia="zh-CN"/>
              </w:rPr>
            </w:pPr>
            <w:r>
              <w:rPr>
                <w:rFonts w:hint="eastAsia" w:eastAsia="宋体"/>
                <w:b/>
                <w:bCs/>
                <w:highlight w:val="none"/>
                <w:vertAlign w:val="baseline"/>
                <w:lang w:val="en-US" w:eastAsia="zh-CN"/>
              </w:rPr>
              <w:t>Reversion 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highlight w:val="none"/>
                <w:vertAlign w:val="baseline"/>
                <w:lang w:val="en-US" w:eastAsia="zh-CN"/>
              </w:rPr>
            </w:pPr>
            <w:r>
              <w:rPr>
                <w:highlight w:val="none"/>
              </w:rPr>
              <w:t>coexistence scenarios</w:t>
            </w:r>
          </w:p>
        </w:tc>
        <w:tc>
          <w:tcPr>
            <w:tcW w:w="131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highlight w:val="none"/>
                <w:vertAlign w:val="baseline"/>
                <w:lang w:val="en-US" w:eastAsia="zh-CN"/>
              </w:rPr>
            </w:pPr>
            <w:r>
              <w:rPr>
                <w:rFonts w:hint="eastAsia" w:eastAsia="宋体"/>
                <w:highlight w:val="none"/>
                <w:vertAlign w:val="baseline"/>
                <w:lang w:val="en-US" w:eastAsia="zh-CN"/>
              </w:rPr>
              <w:t>Partial</w:t>
            </w:r>
          </w:p>
        </w:tc>
        <w:tc>
          <w:tcPr>
            <w:tcW w:w="588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eastAsia" w:eastAsia="宋体"/>
                <w:highlight w:val="none"/>
                <w:vertAlign w:val="baseline"/>
                <w:lang w:val="en-US" w:eastAsia="zh-CN"/>
              </w:rPr>
            </w:pPr>
            <w:r>
              <w:rPr>
                <w:rFonts w:hint="eastAsia" w:eastAsia="宋体"/>
                <w:highlight w:val="none"/>
                <w:lang w:val="en-US" w:eastAsia="zh-CN"/>
              </w:rPr>
              <w:t>We focus on UL HPUEs interfere normal NR UE in adjacent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highlight w:val="none"/>
                <w:vertAlign w:val="baseline"/>
                <w:lang w:val="en-US" w:eastAsia="zh-CN"/>
              </w:rPr>
            </w:pPr>
            <w:r>
              <w:rPr>
                <w:highlight w:val="none"/>
                <w:lang w:eastAsia="en-GB"/>
              </w:rPr>
              <w:t>Macro cell Propagation model</w:t>
            </w:r>
          </w:p>
        </w:tc>
        <w:tc>
          <w:tcPr>
            <w:tcW w:w="131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highlight w:val="none"/>
                <w:vertAlign w:val="baseline"/>
                <w:lang w:val="en-US" w:eastAsia="zh-CN"/>
              </w:rPr>
            </w:pPr>
            <w:r>
              <w:rPr>
                <w:rFonts w:hint="eastAsia" w:eastAsia="宋体"/>
                <w:highlight w:val="none"/>
                <w:vertAlign w:val="baseline"/>
                <w:lang w:val="en-US" w:eastAsia="zh-CN"/>
              </w:rPr>
              <w:t>Yes</w:t>
            </w:r>
          </w:p>
        </w:tc>
        <w:tc>
          <w:tcPr>
            <w:tcW w:w="5884" w:type="dxa"/>
          </w:tcPr>
          <w:p>
            <w:pPr>
              <w:keepLines/>
              <w:pageBreakBefore w:val="0"/>
              <w:widowControl/>
              <w:tabs>
                <w:tab w:val="center" w:pos="4536"/>
                <w:tab w:val="right" w:pos="9072"/>
              </w:tabs>
              <w:kinsoku/>
              <w:wordWrap/>
              <w:overflowPunct w:val="0"/>
              <w:topLinePunct w:val="0"/>
              <w:autoSpaceDE w:val="0"/>
              <w:autoSpaceDN w:val="0"/>
              <w:bidi w:val="0"/>
              <w:adjustRightInd w:val="0"/>
              <w:snapToGrid w:val="0"/>
              <w:spacing w:before="60" w:after="60" w:line="240" w:lineRule="auto"/>
              <w:jc w:val="center"/>
              <w:textAlignment w:val="baseline"/>
              <w:rPr>
                <w:highlight w:val="none"/>
                <w:lang w:val="da-DK" w:eastAsia="en-GB"/>
              </w:rPr>
            </w:pPr>
            <w:r>
              <w:rPr>
                <w:highlight w:val="none"/>
                <w:lang w:val="da-DK" w:eastAsia="en-GB"/>
              </w:rPr>
              <w:t>L (R)=  69.55 +26.16log</w:t>
            </w:r>
            <w:r>
              <w:rPr>
                <w:highlight w:val="none"/>
                <w:vertAlign w:val="subscript"/>
                <w:lang w:val="da-DK" w:eastAsia="en-GB"/>
              </w:rPr>
              <w:t>10</w:t>
            </w:r>
            <w:r>
              <w:rPr>
                <w:highlight w:val="none"/>
                <w:lang w:val="da-DK" w:eastAsia="en-GB"/>
              </w:rPr>
              <w:t>(f)–13.82log</w:t>
            </w:r>
            <w:r>
              <w:rPr>
                <w:highlight w:val="none"/>
                <w:vertAlign w:val="subscript"/>
                <w:lang w:val="da-DK" w:eastAsia="en-GB"/>
              </w:rPr>
              <w:t>10</w:t>
            </w:r>
            <w:r>
              <w:rPr>
                <w:highlight w:val="none"/>
                <w:lang w:val="da-DK" w:eastAsia="en-GB"/>
              </w:rPr>
              <w:t>(Hb)+[44.9-6.55log</w:t>
            </w:r>
            <w:r>
              <w:rPr>
                <w:highlight w:val="none"/>
                <w:vertAlign w:val="subscript"/>
                <w:lang w:val="da-DK" w:eastAsia="en-GB"/>
              </w:rPr>
              <w:t>10</w:t>
            </w:r>
            <w:r>
              <w:rPr>
                <w:highlight w:val="none"/>
                <w:lang w:val="da-DK" w:eastAsia="en-GB"/>
              </w:rPr>
              <w:t>(Hb)]log(R)  – 4.78(log</w:t>
            </w:r>
            <w:r>
              <w:rPr>
                <w:highlight w:val="none"/>
                <w:vertAlign w:val="subscript"/>
                <w:lang w:val="da-DK" w:eastAsia="en-GB"/>
              </w:rPr>
              <w:t>10</w:t>
            </w:r>
            <w:r>
              <w:rPr>
                <w:highlight w:val="none"/>
                <w:lang w:val="da-DK" w:eastAsia="en-GB"/>
              </w:rPr>
              <w:t xml:space="preserve"> (f))</w:t>
            </w:r>
            <w:r>
              <w:rPr>
                <w:highlight w:val="none"/>
                <w:vertAlign w:val="superscript"/>
                <w:lang w:val="da-DK" w:eastAsia="en-GB"/>
              </w:rPr>
              <w:t>2</w:t>
            </w:r>
            <w:r>
              <w:rPr>
                <w:highlight w:val="none"/>
                <w:lang w:val="da-DK" w:eastAsia="en-GB"/>
              </w:rPr>
              <w:t>+18.33 log</w:t>
            </w:r>
            <w:r>
              <w:rPr>
                <w:highlight w:val="none"/>
                <w:vertAlign w:val="subscript"/>
                <w:lang w:val="da-DK" w:eastAsia="en-GB"/>
              </w:rPr>
              <w:t>10</w:t>
            </w:r>
            <w:r>
              <w:rPr>
                <w:highlight w:val="none"/>
                <w:lang w:val="da-DK" w:eastAsia="en-GB"/>
              </w:rPr>
              <w:t xml:space="preserve"> (f) -40.94</w:t>
            </w:r>
          </w:p>
          <w:p>
            <w:pPr>
              <w:pageBreakBefore w:val="0"/>
              <w:widowControl/>
              <w:kinsoku/>
              <w:wordWrap/>
              <w:overflowPunct w:val="0"/>
              <w:topLinePunct w:val="0"/>
              <w:autoSpaceDE w:val="0"/>
              <w:autoSpaceDN w:val="0"/>
              <w:bidi w:val="0"/>
              <w:adjustRightInd w:val="0"/>
              <w:snapToGrid w:val="0"/>
              <w:spacing w:before="60" w:after="60" w:line="240" w:lineRule="auto"/>
              <w:textAlignment w:val="baseline"/>
              <w:rPr>
                <w:highlight w:val="none"/>
                <w:lang w:eastAsia="en-GB"/>
              </w:rPr>
            </w:pPr>
            <w:r>
              <w:rPr>
                <w:highlight w:val="none"/>
                <w:lang w:eastAsia="en-GB"/>
              </w:rPr>
              <w:t>where:</w:t>
            </w:r>
          </w:p>
          <w:p>
            <w:pPr>
              <w:pageBreakBefore w:val="0"/>
              <w:widowControl/>
              <w:kinsoku/>
              <w:wordWrap/>
              <w:overflowPunct w:val="0"/>
              <w:topLinePunct w:val="0"/>
              <w:autoSpaceDE w:val="0"/>
              <w:autoSpaceDN w:val="0"/>
              <w:bidi w:val="0"/>
              <w:adjustRightInd w:val="0"/>
              <w:snapToGrid w:val="0"/>
              <w:spacing w:before="60" w:after="60" w:line="240" w:lineRule="auto"/>
              <w:ind w:firstLine="400" w:firstLineChars="200"/>
              <w:textAlignment w:val="baseline"/>
              <w:rPr>
                <w:highlight w:val="none"/>
                <w:lang w:eastAsia="en-GB"/>
              </w:rPr>
            </w:pPr>
            <w:r>
              <w:rPr>
                <w:highlight w:val="none"/>
                <w:lang w:eastAsia="en-GB"/>
              </w:rPr>
              <w:t>R is the base station-UE separation in kilometres</w:t>
            </w:r>
          </w:p>
          <w:p>
            <w:pPr>
              <w:pageBreakBefore w:val="0"/>
              <w:widowControl/>
              <w:kinsoku/>
              <w:wordWrap/>
              <w:overflowPunct w:val="0"/>
              <w:topLinePunct w:val="0"/>
              <w:autoSpaceDE w:val="0"/>
              <w:autoSpaceDN w:val="0"/>
              <w:bidi w:val="0"/>
              <w:adjustRightInd w:val="0"/>
              <w:snapToGrid w:val="0"/>
              <w:spacing w:before="60" w:after="60" w:line="240" w:lineRule="auto"/>
              <w:ind w:firstLine="400" w:firstLineChars="200"/>
              <w:textAlignment w:val="baseline"/>
              <w:rPr>
                <w:highlight w:val="none"/>
                <w:lang w:eastAsia="en-GB"/>
              </w:rPr>
            </w:pPr>
            <w:r>
              <w:rPr>
                <w:highlight w:val="none"/>
                <w:lang w:eastAsia="en-GB"/>
              </w:rPr>
              <w:t>f is the carrier frequency in MHz</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ind w:firstLine="400" w:firstLineChars="200"/>
              <w:textAlignment w:val="auto"/>
              <w:rPr>
                <w:rFonts w:hint="eastAsia" w:eastAsia="宋体"/>
                <w:highlight w:val="none"/>
                <w:vertAlign w:val="baseline"/>
                <w:lang w:val="en-US" w:eastAsia="zh-CN"/>
              </w:rPr>
            </w:pPr>
            <w:r>
              <w:rPr>
                <w:highlight w:val="none"/>
                <w:lang w:eastAsia="en-GB"/>
              </w:rPr>
              <w:t>Hb is the base station antenna height above ground in metres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ind w:firstLine="400" w:firstLineChars="200"/>
              <w:textAlignment w:val="auto"/>
              <w:rPr>
                <w:rFonts w:hint="default" w:eastAsia="宋体"/>
                <w:highlight w:val="none"/>
                <w:vertAlign w:val="baseline"/>
                <w:lang w:val="en-US" w:eastAsia="zh-CN"/>
              </w:rPr>
            </w:pPr>
            <w:r>
              <w:rPr>
                <w:rFonts w:hint="eastAsia" w:eastAsia="宋体"/>
                <w:highlight w:val="none"/>
                <w:vertAlign w:val="baseline"/>
                <w:lang w:val="en-US" w:eastAsia="zh-CN"/>
              </w:rPr>
              <w:t>Center Frequency is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highlight w:val="none"/>
                <w:lang w:eastAsia="en-GB"/>
              </w:rPr>
            </w:pPr>
            <w:r>
              <w:rPr>
                <w:highlight w:val="none"/>
                <w:lang w:eastAsia="en-GB"/>
              </w:rPr>
              <w:t>Power control modelling</w:t>
            </w:r>
          </w:p>
        </w:tc>
        <w:tc>
          <w:tcPr>
            <w:tcW w:w="131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highlight w:val="none"/>
                <w:vertAlign w:val="baseline"/>
                <w:lang w:val="en-US" w:eastAsia="zh-CN"/>
              </w:rPr>
            </w:pPr>
            <w:r>
              <w:rPr>
                <w:rFonts w:hint="eastAsia" w:eastAsia="宋体"/>
                <w:highlight w:val="none"/>
                <w:vertAlign w:val="baseline"/>
                <w:lang w:val="en-US" w:eastAsia="zh-CN"/>
              </w:rPr>
              <w:t>Yes</w:t>
            </w:r>
          </w:p>
        </w:tc>
        <w:tc>
          <w:tcPr>
            <w:tcW w:w="588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Ansi="Cambria Math"/>
                <w:i w:val="0"/>
                <w:highlight w:val="none"/>
                <w:lang w:eastAsia="en-GB"/>
              </w:rPr>
            </w:pPr>
            <m:oMathPara>
              <m:oMath>
                <m:sSub>
                  <m:sSubPr>
                    <m:ctrlPr>
                      <w:rPr>
                        <w:rFonts w:ascii="Cambria Math" w:hAnsi="Cambria Math"/>
                        <w:i/>
                        <w:highlight w:val="none"/>
                        <w:lang w:eastAsia="en-GB"/>
                      </w:rPr>
                    </m:ctrlPr>
                  </m:sSubPr>
                  <m:e>
                    <m:r>
                      <m:rPr/>
                      <w:rPr>
                        <w:rFonts w:ascii="Cambria Math"/>
                        <w:highlight w:val="none"/>
                        <w:lang w:eastAsia="en-GB"/>
                      </w:rPr>
                      <m:t>P</m:t>
                    </m:r>
                    <m:ctrlPr>
                      <w:rPr>
                        <w:rFonts w:ascii="Cambria Math" w:hAnsi="Cambria Math"/>
                        <w:i/>
                        <w:highlight w:val="none"/>
                        <w:lang w:eastAsia="en-GB"/>
                      </w:rPr>
                    </m:ctrlPr>
                  </m:e>
                  <m:sub>
                    <m:r>
                      <m:rPr/>
                      <w:rPr>
                        <w:rFonts w:ascii="Cambria Math"/>
                        <w:highlight w:val="none"/>
                        <w:lang w:eastAsia="en-GB"/>
                      </w:rPr>
                      <m:t>t</m:t>
                    </m:r>
                    <m:ctrlPr>
                      <w:rPr>
                        <w:rFonts w:ascii="Cambria Math" w:hAnsi="Cambria Math"/>
                        <w:i/>
                        <w:highlight w:val="none"/>
                        <w:lang w:eastAsia="en-GB"/>
                      </w:rPr>
                    </m:ctrlPr>
                  </m:sub>
                </m:sSub>
                <m:r>
                  <m:rPr/>
                  <w:rPr>
                    <w:rFonts w:ascii="Cambria Math"/>
                    <w:highlight w:val="none"/>
                    <w:lang w:eastAsia="en-GB"/>
                  </w:rPr>
                  <m:t>=</m:t>
                </m:r>
                <m:func>
                  <m:funcPr>
                    <m:ctrlPr>
                      <w:rPr>
                        <w:rFonts w:ascii="Cambria Math" w:hAnsi="Cambria Math"/>
                        <w:i/>
                        <w:highlight w:val="none"/>
                        <w:lang w:eastAsia="en-GB"/>
                      </w:rPr>
                    </m:ctrlPr>
                  </m:funcPr>
                  <m:fName>
                    <m:sSub>
                      <m:sSubPr>
                        <m:ctrlPr>
                          <w:rPr>
                            <w:rFonts w:ascii="Cambria Math" w:hAnsi="Cambria Math"/>
                            <w:i/>
                            <w:highlight w:val="none"/>
                            <w:lang w:eastAsia="en-GB"/>
                          </w:rPr>
                        </m:ctrlPr>
                      </m:sSubPr>
                      <m:e>
                        <m:r>
                          <m:rPr/>
                          <w:rPr>
                            <w:rFonts w:ascii="Cambria Math"/>
                            <w:highlight w:val="none"/>
                            <w:lang w:eastAsia="en-GB"/>
                          </w:rPr>
                          <m:t>P</m:t>
                        </m:r>
                        <m:ctrlPr>
                          <w:rPr>
                            <w:rFonts w:ascii="Cambria Math" w:hAnsi="Cambria Math"/>
                            <w:i/>
                            <w:highlight w:val="none"/>
                            <w:lang w:eastAsia="en-GB"/>
                          </w:rPr>
                        </m:ctrlPr>
                      </m:e>
                      <m:sub>
                        <m:r>
                          <m:rPr/>
                          <w:rPr>
                            <w:rFonts w:ascii="Cambria Math"/>
                            <w:highlight w:val="none"/>
                            <w:lang w:eastAsia="en-GB"/>
                          </w:rPr>
                          <m:t>max</m:t>
                        </m:r>
                        <m:ctrlPr>
                          <w:rPr>
                            <w:rFonts w:ascii="Cambria Math" w:hAnsi="Cambria Math"/>
                            <w:i/>
                            <w:highlight w:val="none"/>
                            <w:lang w:eastAsia="en-GB"/>
                          </w:rPr>
                        </m:ctrlPr>
                      </m:sub>
                    </m:sSub>
                    <m:r>
                      <m:rPr/>
                      <w:rPr>
                        <w:rFonts w:ascii="Cambria Math" w:hAnsi="Cambria Math"/>
                        <w:highlight w:val="none"/>
                        <w:lang w:eastAsia="en-GB"/>
                      </w:rPr>
                      <m:t>×</m:t>
                    </m:r>
                    <m:r>
                      <m:rPr/>
                      <w:rPr>
                        <w:rFonts w:ascii="Cambria Math"/>
                        <w:highlight w:val="none"/>
                        <w:lang w:eastAsia="en-GB"/>
                      </w:rPr>
                      <m:t>min</m:t>
                    </m:r>
                    <m:ctrlPr>
                      <w:rPr>
                        <w:rFonts w:ascii="Cambria Math" w:hAnsi="Cambria Math"/>
                        <w:i/>
                        <w:highlight w:val="none"/>
                        <w:lang w:eastAsia="en-GB"/>
                      </w:rPr>
                    </m:ctrlPr>
                  </m:fName>
                  <m:e>
                    <m:d>
                      <m:dPr>
                        <m:begChr m:val="{"/>
                        <m:endChr m:val="}"/>
                        <m:ctrlPr>
                          <w:rPr>
                            <w:rFonts w:ascii="Cambria Math" w:hAnsi="Cambria Math"/>
                            <w:i/>
                            <w:highlight w:val="none"/>
                            <w:lang w:eastAsia="en-GB"/>
                          </w:rPr>
                        </m:ctrlPr>
                      </m:dPr>
                      <m:e>
                        <m:r>
                          <m:rPr/>
                          <w:rPr>
                            <w:rFonts w:ascii="Cambria Math"/>
                            <w:highlight w:val="none"/>
                            <w:lang w:eastAsia="en-GB"/>
                          </w:rPr>
                          <m:t>1,</m:t>
                        </m:r>
                        <m:func>
                          <m:funcPr>
                            <m:ctrlPr>
                              <w:rPr>
                                <w:rFonts w:ascii="Cambria Math" w:hAnsi="Cambria Math"/>
                                <w:i/>
                                <w:highlight w:val="none"/>
                                <w:lang w:eastAsia="en-GB"/>
                              </w:rPr>
                            </m:ctrlPr>
                          </m:funcPr>
                          <m:fName>
                            <m:r>
                              <m:rPr/>
                              <w:rPr>
                                <w:rFonts w:ascii="Cambria Math"/>
                                <w:highlight w:val="none"/>
                                <w:lang w:eastAsia="en-GB"/>
                              </w:rPr>
                              <m:t>max</m:t>
                            </m:r>
                            <m:ctrlPr>
                              <w:rPr>
                                <w:rFonts w:ascii="Cambria Math" w:hAnsi="Cambria Math"/>
                                <w:i/>
                                <w:highlight w:val="none"/>
                                <w:lang w:eastAsia="en-GB"/>
                              </w:rPr>
                            </m:ctrlPr>
                          </m:fName>
                          <m:e>
                            <m:d>
                              <m:dPr>
                                <m:begChr m:val="["/>
                                <m:endChr m:val="]"/>
                                <m:ctrlPr>
                                  <w:rPr>
                                    <w:rFonts w:ascii="Cambria Math" w:hAnsi="Cambria Math"/>
                                    <w:i/>
                                    <w:highlight w:val="none"/>
                                    <w:lang w:eastAsia="en-GB"/>
                                  </w:rPr>
                                </m:ctrlPr>
                              </m:dPr>
                              <m:e>
                                <m:sSub>
                                  <m:sSubPr>
                                    <m:ctrlPr>
                                      <w:rPr>
                                        <w:rFonts w:ascii="Cambria Math" w:hAnsi="Cambria Math"/>
                                        <w:i/>
                                        <w:highlight w:val="none"/>
                                        <w:lang w:eastAsia="en-GB"/>
                                      </w:rPr>
                                    </m:ctrlPr>
                                  </m:sSubPr>
                                  <m:e>
                                    <m:r>
                                      <m:rPr/>
                                      <w:rPr>
                                        <w:rFonts w:ascii="Cambria Math"/>
                                        <w:highlight w:val="none"/>
                                        <w:lang w:eastAsia="en-GB"/>
                                      </w:rPr>
                                      <m:t>R</m:t>
                                    </m:r>
                                    <m:ctrlPr>
                                      <w:rPr>
                                        <w:rFonts w:ascii="Cambria Math" w:hAnsi="Cambria Math"/>
                                        <w:i/>
                                        <w:highlight w:val="none"/>
                                        <w:lang w:eastAsia="en-GB"/>
                                      </w:rPr>
                                    </m:ctrlPr>
                                  </m:e>
                                  <m:sub>
                                    <m:r>
                                      <m:rPr/>
                                      <w:rPr>
                                        <w:rFonts w:ascii="Cambria Math"/>
                                        <w:highlight w:val="none"/>
                                        <w:lang w:eastAsia="en-GB"/>
                                      </w:rPr>
                                      <m:t>min</m:t>
                                    </m:r>
                                    <m:ctrlPr>
                                      <w:rPr>
                                        <w:rFonts w:ascii="Cambria Math" w:hAnsi="Cambria Math"/>
                                        <w:i/>
                                        <w:highlight w:val="none"/>
                                        <w:lang w:eastAsia="en-GB"/>
                                      </w:rPr>
                                    </m:ctrlPr>
                                  </m:sub>
                                </m:sSub>
                                <m:r>
                                  <m:rPr/>
                                  <w:rPr>
                                    <w:rFonts w:ascii="Cambria Math"/>
                                    <w:highlight w:val="none"/>
                                    <w:lang w:eastAsia="en-GB"/>
                                  </w:rPr>
                                  <m:t>,</m:t>
                                </m:r>
                                <m:sSup>
                                  <m:sSupPr>
                                    <m:ctrlPr>
                                      <w:rPr>
                                        <w:rFonts w:ascii="Cambria Math" w:hAnsi="Cambria Math"/>
                                        <w:i/>
                                        <w:highlight w:val="none"/>
                                        <w:lang w:eastAsia="en-GB"/>
                                      </w:rPr>
                                    </m:ctrlPr>
                                  </m:sSupPr>
                                  <m:e>
                                    <m:d>
                                      <m:dPr>
                                        <m:ctrlPr>
                                          <w:rPr>
                                            <w:rFonts w:ascii="Cambria Math" w:hAnsi="Cambria Math"/>
                                            <w:i/>
                                            <w:highlight w:val="none"/>
                                            <w:lang w:eastAsia="en-GB"/>
                                          </w:rPr>
                                        </m:ctrlPr>
                                      </m:dPr>
                                      <m:e>
                                        <m:f>
                                          <m:fPr>
                                            <m:ctrlPr>
                                              <w:rPr>
                                                <w:rFonts w:ascii="Cambria Math" w:hAnsi="Cambria Math"/>
                                                <w:i/>
                                                <w:highlight w:val="none"/>
                                                <w:lang w:eastAsia="en-GB"/>
                                              </w:rPr>
                                            </m:ctrlPr>
                                          </m:fPr>
                                          <m:num>
                                            <m:r>
                                              <m:rPr/>
                                              <w:rPr>
                                                <w:rFonts w:ascii="Cambria Math"/>
                                                <w:highlight w:val="none"/>
                                                <w:lang w:eastAsia="en-GB"/>
                                              </w:rPr>
                                              <m:t>CL</m:t>
                                            </m:r>
                                            <m:ctrlPr>
                                              <w:rPr>
                                                <w:rFonts w:ascii="Cambria Math" w:hAnsi="Cambria Math"/>
                                                <w:i/>
                                                <w:highlight w:val="none"/>
                                                <w:lang w:eastAsia="en-GB"/>
                                              </w:rPr>
                                            </m:ctrlPr>
                                          </m:num>
                                          <m:den>
                                            <m:r>
                                              <m:rPr/>
                                              <w:rPr>
                                                <w:rFonts w:ascii="Cambria Math"/>
                                                <w:highlight w:val="none"/>
                                                <w:lang w:eastAsia="en-GB"/>
                                              </w:rPr>
                                              <m:t>C</m:t>
                                            </m:r>
                                            <m:sSub>
                                              <m:sSubPr>
                                                <m:ctrlPr>
                                                  <w:rPr>
                                                    <w:rFonts w:ascii="Cambria Math" w:hAnsi="Cambria Math"/>
                                                    <w:i/>
                                                    <w:highlight w:val="none"/>
                                                    <w:lang w:eastAsia="en-GB"/>
                                                  </w:rPr>
                                                </m:ctrlPr>
                                              </m:sSubPr>
                                              <m:e>
                                                <m:r>
                                                  <m:rPr/>
                                                  <w:rPr>
                                                    <w:rFonts w:ascii="Cambria Math"/>
                                                    <w:highlight w:val="none"/>
                                                    <w:lang w:eastAsia="en-GB"/>
                                                  </w:rPr>
                                                  <m:t>L</m:t>
                                                </m:r>
                                                <m:ctrlPr>
                                                  <w:rPr>
                                                    <w:rFonts w:ascii="Cambria Math" w:hAnsi="Cambria Math"/>
                                                    <w:i/>
                                                    <w:highlight w:val="none"/>
                                                    <w:lang w:eastAsia="en-GB"/>
                                                  </w:rPr>
                                                </m:ctrlPr>
                                              </m:e>
                                              <m:sub>
                                                <m:r>
                                                  <m:rPr/>
                                                  <w:rPr>
                                                    <w:rFonts w:ascii="Cambria Math"/>
                                                    <w:highlight w:val="none"/>
                                                    <w:lang w:eastAsia="en-GB"/>
                                                  </w:rPr>
                                                  <m:t>x−ile</m:t>
                                                </m:r>
                                                <m:ctrlPr>
                                                  <w:rPr>
                                                    <w:rFonts w:ascii="Cambria Math" w:hAnsi="Cambria Math"/>
                                                    <w:i/>
                                                    <w:highlight w:val="none"/>
                                                    <w:lang w:eastAsia="en-GB"/>
                                                  </w:rPr>
                                                </m:ctrlPr>
                                              </m:sub>
                                            </m:sSub>
                                            <m:ctrlPr>
                                              <w:rPr>
                                                <w:rFonts w:ascii="Cambria Math" w:hAnsi="Cambria Math"/>
                                                <w:i/>
                                                <w:highlight w:val="none"/>
                                                <w:lang w:eastAsia="en-GB"/>
                                              </w:rPr>
                                            </m:ctrlPr>
                                          </m:den>
                                        </m:f>
                                        <m:ctrlPr>
                                          <w:rPr>
                                            <w:rFonts w:ascii="Cambria Math" w:hAnsi="Cambria Math"/>
                                            <w:i/>
                                            <w:highlight w:val="none"/>
                                            <w:lang w:eastAsia="en-GB"/>
                                          </w:rPr>
                                        </m:ctrlPr>
                                      </m:e>
                                    </m:d>
                                    <m:ctrlPr>
                                      <w:rPr>
                                        <w:rFonts w:ascii="Cambria Math" w:hAnsi="Cambria Math"/>
                                        <w:i/>
                                        <w:highlight w:val="none"/>
                                        <w:lang w:eastAsia="en-GB"/>
                                      </w:rPr>
                                    </m:ctrlPr>
                                  </m:e>
                                  <m:sup>
                                    <m:r>
                                      <m:rPr/>
                                      <w:rPr>
                                        <w:rFonts w:ascii="Cambria Math" w:hAnsi="Cambria Math"/>
                                        <w:highlight w:val="none"/>
                                        <w:lang w:eastAsia="en-GB"/>
                                      </w:rPr>
                                      <m:t>γ</m:t>
                                    </m:r>
                                    <m:ctrlPr>
                                      <w:rPr>
                                        <w:rFonts w:ascii="Cambria Math" w:hAnsi="Cambria Math"/>
                                        <w:i/>
                                        <w:highlight w:val="none"/>
                                        <w:lang w:eastAsia="en-GB"/>
                                      </w:rPr>
                                    </m:ctrlPr>
                                  </m:sup>
                                </m:sSup>
                                <m:ctrlPr>
                                  <w:rPr>
                                    <w:rFonts w:ascii="Cambria Math" w:hAnsi="Cambria Math"/>
                                    <w:i/>
                                    <w:highlight w:val="none"/>
                                    <w:lang w:eastAsia="en-GB"/>
                                  </w:rPr>
                                </m:ctrlPr>
                              </m:e>
                            </m:d>
                            <m:ctrlPr>
                              <w:rPr>
                                <w:rFonts w:ascii="Cambria Math" w:hAnsi="Cambria Math"/>
                                <w:i/>
                                <w:highlight w:val="none"/>
                                <w:lang w:eastAsia="en-GB"/>
                              </w:rPr>
                            </m:ctrlPr>
                          </m:e>
                        </m:func>
                        <m:ctrlPr>
                          <w:rPr>
                            <w:rFonts w:ascii="Cambria Math" w:hAnsi="Cambria Math"/>
                            <w:i/>
                            <w:highlight w:val="none"/>
                            <w:lang w:eastAsia="en-GB"/>
                          </w:rPr>
                        </m:ctrlPr>
                      </m:e>
                    </m:d>
                    <m:ctrlPr>
                      <w:rPr>
                        <w:rFonts w:ascii="Cambria Math" w:hAnsi="Cambria Math"/>
                        <w:i/>
                        <w:highlight w:val="none"/>
                        <w:lang w:eastAsia="en-GB"/>
                      </w:rPr>
                    </m:ctrlPr>
                  </m:e>
                </m:func>
              </m:oMath>
            </m:oMathPara>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hAnsi="Cambria Math" w:eastAsia="宋体"/>
                <w:i w:val="0"/>
                <w:highlight w:val="none"/>
                <w:lang w:val="en-US" w:eastAsia="zh-CN"/>
              </w:rPr>
            </w:pPr>
            <w:r>
              <w:rPr>
                <w:i/>
                <w:highlight w:val="none"/>
                <w:lang w:eastAsia="zh-CN"/>
              </w:rPr>
              <w:t>CL</w:t>
            </w:r>
            <w:r>
              <w:rPr>
                <w:i/>
                <w:highlight w:val="none"/>
                <w:vertAlign w:val="subscript"/>
                <w:lang w:eastAsia="en-GB"/>
              </w:rPr>
              <w:t>x-</w:t>
            </w:r>
            <w:r>
              <w:rPr>
                <w:highlight w:val="none"/>
                <w:vertAlign w:val="subscript"/>
                <w:lang w:eastAsia="en-GB"/>
              </w:rPr>
              <w:t>ile</w:t>
            </w:r>
            <w:r>
              <w:rPr>
                <w:rFonts w:hint="eastAsia" w:eastAsia="宋体"/>
                <w:highlight w:val="none"/>
                <w:vertAlign w:val="subscript"/>
                <w:lang w:val="en-US" w:eastAsia="zh-CN"/>
              </w:rPr>
              <w:t xml:space="preserve"> </w:t>
            </w:r>
            <w:r>
              <w:rPr>
                <w:rFonts w:hint="eastAsia" w:ascii="Times New Roman" w:hAnsi="Times New Roman" w:eastAsia="宋体" w:cs="Times New Roman"/>
                <w:highlight w:val="none"/>
                <w:lang w:val="en-US" w:eastAsia="zh-CN"/>
              </w:rPr>
              <w:t>need to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ascii="Times New Roman" w:hAnsi="Times New Roman" w:cs="Times New Roman"/>
                <w:highlight w:val="none"/>
                <w:lang w:eastAsia="en-GB"/>
              </w:rPr>
            </w:pPr>
            <w:r>
              <w:rPr>
                <w:rFonts w:ascii="Times New Roman" w:hAnsi="Times New Roman" w:cs="Times New Roman"/>
                <w:highlight w:val="none"/>
                <w:lang w:eastAsia="en-GB"/>
              </w:rPr>
              <w:t>Cell layout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highlight w:val="none"/>
                <w:vertAlign w:val="baseline"/>
                <w:lang w:val="en-US" w:eastAsia="zh-CN"/>
              </w:rPr>
            </w:pPr>
          </w:p>
        </w:tc>
        <w:tc>
          <w:tcPr>
            <w:tcW w:w="131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highlight w:val="none"/>
                <w:vertAlign w:val="baseline"/>
                <w:lang w:val="en-US" w:eastAsia="zh-CN"/>
              </w:rPr>
            </w:pPr>
            <w:r>
              <w:rPr>
                <w:rFonts w:hint="eastAsia" w:eastAsia="宋体"/>
                <w:highlight w:val="none"/>
                <w:vertAlign w:val="baseline"/>
                <w:lang w:val="en-US" w:eastAsia="zh-CN"/>
              </w:rPr>
              <w:t>Yes</w:t>
            </w:r>
          </w:p>
        </w:tc>
        <w:tc>
          <w:tcPr>
            <w:tcW w:w="5884" w:type="dxa"/>
          </w:tcPr>
          <w:p>
            <w:pPr>
              <w:pStyle w:val="39"/>
              <w:pageBreakBefore w:val="0"/>
              <w:widowControl/>
              <w:kinsoku/>
              <w:wordWrap/>
              <w:topLinePunct w:val="0"/>
              <w:bidi w:val="0"/>
              <w:adjustRightInd w:val="0"/>
              <w:snapToGrid w:val="0"/>
              <w:spacing w:before="60" w:after="60" w:line="240" w:lineRule="auto"/>
              <w:rPr>
                <w:highlight w:val="none"/>
              </w:rPr>
            </w:pPr>
            <w:r>
              <w:rPr>
                <w:highlight w:val="none"/>
              </w:rPr>
              <w:drawing>
                <wp:inline distT="0" distB="0" distL="0" distR="0">
                  <wp:extent cx="2571750" cy="1864995"/>
                  <wp:effectExtent l="0" t="0" r="3810" b="952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571750" cy="1864995"/>
                          </a:xfrm>
                          <a:prstGeom prst="rect">
                            <a:avLst/>
                          </a:prstGeom>
                          <a:noFill/>
                          <a:ln>
                            <a:noFill/>
                          </a:ln>
                        </pic:spPr>
                      </pic:pic>
                    </a:graphicData>
                  </a:graphic>
                </wp:inline>
              </w:drawing>
            </w:r>
          </w:p>
          <w:p>
            <w:pPr>
              <w:pStyle w:val="63"/>
              <w:pageBreakBefore w:val="0"/>
              <w:widowControl/>
              <w:kinsoku/>
              <w:wordWrap/>
              <w:topLinePunct w:val="0"/>
              <w:bidi w:val="0"/>
              <w:adjustRightInd w:val="0"/>
              <w:snapToGrid w:val="0"/>
              <w:spacing w:before="60" w:after="60" w:line="240" w:lineRule="auto"/>
              <w:rPr>
                <w:highlight w:val="none"/>
              </w:rPr>
            </w:pPr>
            <w:r>
              <w:rPr>
                <w:highlight w:val="none"/>
              </w:rPr>
              <w:t>Figure 5.1.5-1 Multi system cell layout with different cell radius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highlight w:val="none"/>
                <w:vertAlign w:val="baseline"/>
                <w:lang w:val="en-US" w:eastAsia="zh-CN"/>
              </w:rPr>
            </w:pPr>
            <w:r>
              <w:rPr>
                <w:rFonts w:hint="eastAsia" w:eastAsia="宋体"/>
                <w:highlight w:val="none"/>
                <w:lang w:val="en-US" w:eastAsia="zh-CN"/>
              </w:rPr>
              <w:t>Other s</w:t>
            </w:r>
            <w:r>
              <w:rPr>
                <w:highlight w:val="none"/>
              </w:rPr>
              <w:t>imulation parameters</w:t>
            </w:r>
          </w:p>
        </w:tc>
        <w:tc>
          <w:tcPr>
            <w:tcW w:w="131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highlight w:val="none"/>
                <w:vertAlign w:val="baseline"/>
                <w:lang w:val="en-US" w:eastAsia="zh-CN"/>
              </w:rPr>
            </w:pPr>
            <w:r>
              <w:rPr>
                <w:rFonts w:hint="eastAsia" w:eastAsia="宋体"/>
                <w:highlight w:val="none"/>
                <w:vertAlign w:val="baseline"/>
                <w:lang w:val="en-US" w:eastAsia="zh-CN"/>
              </w:rPr>
              <w:t>No</w:t>
            </w:r>
          </w:p>
        </w:tc>
        <w:tc>
          <w:tcPr>
            <w:tcW w:w="588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val="0"/>
              <w:snapToGrid w:val="0"/>
              <w:spacing w:before="60" w:after="60" w:line="240" w:lineRule="auto"/>
              <w:textAlignment w:val="auto"/>
              <w:rPr>
                <w:rFonts w:hint="default" w:eastAsia="宋体"/>
                <w:highlight w:val="none"/>
                <w:vertAlign w:val="baseline"/>
                <w:lang w:val="en-US" w:eastAsia="zh-CN"/>
              </w:rPr>
            </w:pPr>
            <w:r>
              <w:rPr>
                <w:rFonts w:hint="eastAsia" w:eastAsia="宋体"/>
                <w:highlight w:val="none"/>
                <w:vertAlign w:val="baseline"/>
                <w:lang w:val="en-US" w:eastAsia="zh-CN"/>
              </w:rPr>
              <w:t xml:space="preserve">Including </w:t>
            </w:r>
            <w:r>
              <w:rPr>
                <w:rFonts w:hint="eastAsia" w:eastAsia="宋体"/>
                <w:highlight w:val="none"/>
                <w:lang w:val="en-US" w:eastAsia="zh-CN"/>
              </w:rPr>
              <w:t>center frequency, bandwidth, antenna array configurations which need to be reconfirmed</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RP-252962 New WID: UE RF enhancements for NR FR1, Phase 5, RAN#109, Beijing, CN, Sept. 2025.</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3GPP TR 37.880: </w:t>
      </w:r>
      <w:r>
        <w:t>"</w:t>
      </w:r>
      <w:r>
        <w:rPr>
          <w:rFonts w:hint="eastAsia" w:ascii="Times New Roman" w:hAnsi="Times New Roman" w:cs="Times New Roman"/>
          <w:sz w:val="20"/>
          <w:szCs w:val="20"/>
          <w:highlight w:val="none"/>
          <w:lang w:val="en-US" w:eastAsia="zh-CN"/>
        </w:rPr>
        <w:t>High-power UE operation for fixed-wireless/vehicle-mounted use cases in Band 12, Band 5, and Band n71".</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3GPP TS 38.101-1: "NR; User Equipment (UE) radio transmission and reception; Part 1: Range 1 Standalone".</w:t>
      </w: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87EDB"/>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3C62BB"/>
    <w:rsid w:val="01427401"/>
    <w:rsid w:val="0153531E"/>
    <w:rsid w:val="01624027"/>
    <w:rsid w:val="01633D2A"/>
    <w:rsid w:val="0165337E"/>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8153EF"/>
    <w:rsid w:val="028C48C4"/>
    <w:rsid w:val="029048AA"/>
    <w:rsid w:val="0298367A"/>
    <w:rsid w:val="02A25E3D"/>
    <w:rsid w:val="02B86002"/>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B67DC"/>
    <w:rsid w:val="03AD2FC5"/>
    <w:rsid w:val="03B76035"/>
    <w:rsid w:val="03B82CC7"/>
    <w:rsid w:val="03C77456"/>
    <w:rsid w:val="03C84D9A"/>
    <w:rsid w:val="03CB41C8"/>
    <w:rsid w:val="03DA6915"/>
    <w:rsid w:val="03E60C72"/>
    <w:rsid w:val="04144F59"/>
    <w:rsid w:val="04156C27"/>
    <w:rsid w:val="042221BB"/>
    <w:rsid w:val="042B1DF5"/>
    <w:rsid w:val="043D2559"/>
    <w:rsid w:val="044259F2"/>
    <w:rsid w:val="045D198A"/>
    <w:rsid w:val="046824A8"/>
    <w:rsid w:val="0478015E"/>
    <w:rsid w:val="04865F4C"/>
    <w:rsid w:val="049752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353DA0"/>
    <w:rsid w:val="05402104"/>
    <w:rsid w:val="054248F2"/>
    <w:rsid w:val="05492E9A"/>
    <w:rsid w:val="05510DD1"/>
    <w:rsid w:val="05533CBE"/>
    <w:rsid w:val="05785C74"/>
    <w:rsid w:val="05847419"/>
    <w:rsid w:val="0586171E"/>
    <w:rsid w:val="058704DA"/>
    <w:rsid w:val="059160D0"/>
    <w:rsid w:val="05AE018C"/>
    <w:rsid w:val="05B32ECD"/>
    <w:rsid w:val="05D1514D"/>
    <w:rsid w:val="05D41EE2"/>
    <w:rsid w:val="05D423F7"/>
    <w:rsid w:val="05E80889"/>
    <w:rsid w:val="05F27BD6"/>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63F9A"/>
    <w:rsid w:val="06883FFB"/>
    <w:rsid w:val="068F48CC"/>
    <w:rsid w:val="06923771"/>
    <w:rsid w:val="06A023FD"/>
    <w:rsid w:val="06AE7B81"/>
    <w:rsid w:val="06B66205"/>
    <w:rsid w:val="06C11394"/>
    <w:rsid w:val="06C30854"/>
    <w:rsid w:val="06C93669"/>
    <w:rsid w:val="06CB59C3"/>
    <w:rsid w:val="06CC69B4"/>
    <w:rsid w:val="06CD6519"/>
    <w:rsid w:val="06D84A8A"/>
    <w:rsid w:val="06F36A7A"/>
    <w:rsid w:val="070F3D15"/>
    <w:rsid w:val="07122035"/>
    <w:rsid w:val="07171551"/>
    <w:rsid w:val="07214293"/>
    <w:rsid w:val="072144C3"/>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721912"/>
    <w:rsid w:val="087B0F4C"/>
    <w:rsid w:val="087C4EF8"/>
    <w:rsid w:val="087F03CF"/>
    <w:rsid w:val="087F3562"/>
    <w:rsid w:val="088467B6"/>
    <w:rsid w:val="089B57AE"/>
    <w:rsid w:val="08A10D6D"/>
    <w:rsid w:val="08A656AD"/>
    <w:rsid w:val="08AD5856"/>
    <w:rsid w:val="08C13553"/>
    <w:rsid w:val="08C3786B"/>
    <w:rsid w:val="08C71DC3"/>
    <w:rsid w:val="08CA745A"/>
    <w:rsid w:val="08D538D0"/>
    <w:rsid w:val="08E37BAD"/>
    <w:rsid w:val="08E55413"/>
    <w:rsid w:val="08EE2ED2"/>
    <w:rsid w:val="08F869E1"/>
    <w:rsid w:val="08FB28C9"/>
    <w:rsid w:val="090F5236"/>
    <w:rsid w:val="09133D59"/>
    <w:rsid w:val="0924260A"/>
    <w:rsid w:val="092553BF"/>
    <w:rsid w:val="09294F7D"/>
    <w:rsid w:val="092C61F8"/>
    <w:rsid w:val="095C0F0C"/>
    <w:rsid w:val="09617498"/>
    <w:rsid w:val="09646BE3"/>
    <w:rsid w:val="09674661"/>
    <w:rsid w:val="096B2177"/>
    <w:rsid w:val="097E672F"/>
    <w:rsid w:val="09825F02"/>
    <w:rsid w:val="09A2613C"/>
    <w:rsid w:val="09AB6C45"/>
    <w:rsid w:val="09B566AB"/>
    <w:rsid w:val="09DE671F"/>
    <w:rsid w:val="09E20449"/>
    <w:rsid w:val="09E232DB"/>
    <w:rsid w:val="09E5085D"/>
    <w:rsid w:val="09FB5325"/>
    <w:rsid w:val="09FC388C"/>
    <w:rsid w:val="0A0F5E0F"/>
    <w:rsid w:val="0A153B05"/>
    <w:rsid w:val="0A2802DC"/>
    <w:rsid w:val="0A465959"/>
    <w:rsid w:val="0A4B6F30"/>
    <w:rsid w:val="0A616EBE"/>
    <w:rsid w:val="0A665D1E"/>
    <w:rsid w:val="0A731B50"/>
    <w:rsid w:val="0A8D4756"/>
    <w:rsid w:val="0A8E34E6"/>
    <w:rsid w:val="0AB60DEE"/>
    <w:rsid w:val="0AC9278E"/>
    <w:rsid w:val="0AD60E20"/>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9E1686"/>
    <w:rsid w:val="0BBC467A"/>
    <w:rsid w:val="0BC176FB"/>
    <w:rsid w:val="0BD23E81"/>
    <w:rsid w:val="0BF37D09"/>
    <w:rsid w:val="0BF41031"/>
    <w:rsid w:val="0BF80469"/>
    <w:rsid w:val="0C0C5682"/>
    <w:rsid w:val="0C1D57F9"/>
    <w:rsid w:val="0C373E6B"/>
    <w:rsid w:val="0C5640FE"/>
    <w:rsid w:val="0C684AC1"/>
    <w:rsid w:val="0C7962B1"/>
    <w:rsid w:val="0C7A666C"/>
    <w:rsid w:val="0C7D5162"/>
    <w:rsid w:val="0C867BFF"/>
    <w:rsid w:val="0C881F1B"/>
    <w:rsid w:val="0C953742"/>
    <w:rsid w:val="0CA242EA"/>
    <w:rsid w:val="0CB10B0C"/>
    <w:rsid w:val="0CB30E04"/>
    <w:rsid w:val="0CB6043F"/>
    <w:rsid w:val="0CC66B41"/>
    <w:rsid w:val="0CE077FD"/>
    <w:rsid w:val="0CF07448"/>
    <w:rsid w:val="0D0E0978"/>
    <w:rsid w:val="0D141518"/>
    <w:rsid w:val="0D1561A4"/>
    <w:rsid w:val="0D225A10"/>
    <w:rsid w:val="0D2706A2"/>
    <w:rsid w:val="0D3B5CCB"/>
    <w:rsid w:val="0D495A0D"/>
    <w:rsid w:val="0D4D2BE5"/>
    <w:rsid w:val="0D4F749B"/>
    <w:rsid w:val="0D613BA3"/>
    <w:rsid w:val="0D627389"/>
    <w:rsid w:val="0D744565"/>
    <w:rsid w:val="0D78361E"/>
    <w:rsid w:val="0D7F564D"/>
    <w:rsid w:val="0D835665"/>
    <w:rsid w:val="0D955077"/>
    <w:rsid w:val="0D957F13"/>
    <w:rsid w:val="0D9D0D6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6C0474"/>
    <w:rsid w:val="0E7413AC"/>
    <w:rsid w:val="0E7519BC"/>
    <w:rsid w:val="0E8D066C"/>
    <w:rsid w:val="0E992415"/>
    <w:rsid w:val="0E9A207B"/>
    <w:rsid w:val="0E9E4D5A"/>
    <w:rsid w:val="0EA91DC7"/>
    <w:rsid w:val="0EAA7EC3"/>
    <w:rsid w:val="0EBD33B9"/>
    <w:rsid w:val="0EC81E9E"/>
    <w:rsid w:val="0EC82AA3"/>
    <w:rsid w:val="0ECE66B5"/>
    <w:rsid w:val="0EDC2C57"/>
    <w:rsid w:val="0EDD7052"/>
    <w:rsid w:val="0EE5481D"/>
    <w:rsid w:val="0EF72277"/>
    <w:rsid w:val="0EFC7665"/>
    <w:rsid w:val="0F005A4B"/>
    <w:rsid w:val="0F11785B"/>
    <w:rsid w:val="0F193A29"/>
    <w:rsid w:val="0F21557B"/>
    <w:rsid w:val="0F372967"/>
    <w:rsid w:val="0F3747E7"/>
    <w:rsid w:val="0F3D56F1"/>
    <w:rsid w:val="0F5107D2"/>
    <w:rsid w:val="0F5413E6"/>
    <w:rsid w:val="0F5923CF"/>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E2741"/>
    <w:rsid w:val="108F05CA"/>
    <w:rsid w:val="109241A4"/>
    <w:rsid w:val="109615A9"/>
    <w:rsid w:val="109658C1"/>
    <w:rsid w:val="10A81A96"/>
    <w:rsid w:val="10C9379F"/>
    <w:rsid w:val="10D2232B"/>
    <w:rsid w:val="10D6699E"/>
    <w:rsid w:val="10D902DE"/>
    <w:rsid w:val="10E63E4A"/>
    <w:rsid w:val="11104883"/>
    <w:rsid w:val="11291D63"/>
    <w:rsid w:val="112D72C6"/>
    <w:rsid w:val="113F3856"/>
    <w:rsid w:val="1155323D"/>
    <w:rsid w:val="11683FF9"/>
    <w:rsid w:val="118038D3"/>
    <w:rsid w:val="118C0750"/>
    <w:rsid w:val="119229CC"/>
    <w:rsid w:val="11A17658"/>
    <w:rsid w:val="11A50508"/>
    <w:rsid w:val="11A63D04"/>
    <w:rsid w:val="11E2669D"/>
    <w:rsid w:val="11FD3DC0"/>
    <w:rsid w:val="120639A8"/>
    <w:rsid w:val="12121726"/>
    <w:rsid w:val="121408DF"/>
    <w:rsid w:val="122250B4"/>
    <w:rsid w:val="123E5A4F"/>
    <w:rsid w:val="12447798"/>
    <w:rsid w:val="125D4125"/>
    <w:rsid w:val="12755A57"/>
    <w:rsid w:val="12771554"/>
    <w:rsid w:val="127B3BB4"/>
    <w:rsid w:val="12AA1F62"/>
    <w:rsid w:val="12AE4121"/>
    <w:rsid w:val="12B51A8D"/>
    <w:rsid w:val="12B63F3E"/>
    <w:rsid w:val="12BB4A97"/>
    <w:rsid w:val="12C041D4"/>
    <w:rsid w:val="12CF1D40"/>
    <w:rsid w:val="12F14732"/>
    <w:rsid w:val="12F450A8"/>
    <w:rsid w:val="12F7602D"/>
    <w:rsid w:val="12FD27F6"/>
    <w:rsid w:val="131D53CF"/>
    <w:rsid w:val="13437E80"/>
    <w:rsid w:val="134C3538"/>
    <w:rsid w:val="134E54BA"/>
    <w:rsid w:val="13583391"/>
    <w:rsid w:val="137F4008"/>
    <w:rsid w:val="13866322"/>
    <w:rsid w:val="1390333E"/>
    <w:rsid w:val="139C110B"/>
    <w:rsid w:val="13A51648"/>
    <w:rsid w:val="13BE3B38"/>
    <w:rsid w:val="13C30FC1"/>
    <w:rsid w:val="13C361B5"/>
    <w:rsid w:val="13CD4D8B"/>
    <w:rsid w:val="13E476E4"/>
    <w:rsid w:val="13E963AA"/>
    <w:rsid w:val="13F672DD"/>
    <w:rsid w:val="13FB7B95"/>
    <w:rsid w:val="13FF44D4"/>
    <w:rsid w:val="140A2CA4"/>
    <w:rsid w:val="140C5848"/>
    <w:rsid w:val="1415743A"/>
    <w:rsid w:val="14183950"/>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BF7340"/>
    <w:rsid w:val="14CA4A78"/>
    <w:rsid w:val="14D5440D"/>
    <w:rsid w:val="14D87DF4"/>
    <w:rsid w:val="14E21050"/>
    <w:rsid w:val="14E45DBB"/>
    <w:rsid w:val="14F13DA6"/>
    <w:rsid w:val="14FF6FC2"/>
    <w:rsid w:val="15060BB2"/>
    <w:rsid w:val="150824BE"/>
    <w:rsid w:val="15220493"/>
    <w:rsid w:val="15222491"/>
    <w:rsid w:val="15286C92"/>
    <w:rsid w:val="1529100F"/>
    <w:rsid w:val="1534525F"/>
    <w:rsid w:val="153C7D33"/>
    <w:rsid w:val="15525599"/>
    <w:rsid w:val="155C1FAD"/>
    <w:rsid w:val="156063FA"/>
    <w:rsid w:val="15647A16"/>
    <w:rsid w:val="156506C2"/>
    <w:rsid w:val="156F1F39"/>
    <w:rsid w:val="157674F6"/>
    <w:rsid w:val="157A419A"/>
    <w:rsid w:val="158270AF"/>
    <w:rsid w:val="158E79FA"/>
    <w:rsid w:val="158F210D"/>
    <w:rsid w:val="159427E9"/>
    <w:rsid w:val="15A64D71"/>
    <w:rsid w:val="15AA1B7E"/>
    <w:rsid w:val="15BB0608"/>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7642A"/>
    <w:rsid w:val="167A7800"/>
    <w:rsid w:val="16BD2FB9"/>
    <w:rsid w:val="16C05D40"/>
    <w:rsid w:val="16C9246D"/>
    <w:rsid w:val="16D93724"/>
    <w:rsid w:val="16D96177"/>
    <w:rsid w:val="16DB2490"/>
    <w:rsid w:val="16DE0A1B"/>
    <w:rsid w:val="16E7731D"/>
    <w:rsid w:val="16EE2B7A"/>
    <w:rsid w:val="17060D55"/>
    <w:rsid w:val="172214A5"/>
    <w:rsid w:val="1723727A"/>
    <w:rsid w:val="17276F5B"/>
    <w:rsid w:val="17356295"/>
    <w:rsid w:val="174F4BA1"/>
    <w:rsid w:val="175A4276"/>
    <w:rsid w:val="1764674F"/>
    <w:rsid w:val="176C095E"/>
    <w:rsid w:val="1785675F"/>
    <w:rsid w:val="178E4F46"/>
    <w:rsid w:val="178F5381"/>
    <w:rsid w:val="179855D1"/>
    <w:rsid w:val="179F1E7A"/>
    <w:rsid w:val="17A37760"/>
    <w:rsid w:val="17A613DC"/>
    <w:rsid w:val="17AA27DB"/>
    <w:rsid w:val="17AF2DFF"/>
    <w:rsid w:val="17B943BD"/>
    <w:rsid w:val="17C527E0"/>
    <w:rsid w:val="17DD5D9F"/>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A64E26"/>
    <w:rsid w:val="18AC426F"/>
    <w:rsid w:val="18B43583"/>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7B5DCD"/>
    <w:rsid w:val="197D1DB8"/>
    <w:rsid w:val="199503FD"/>
    <w:rsid w:val="19A45D24"/>
    <w:rsid w:val="19AF5CF6"/>
    <w:rsid w:val="19C63D4F"/>
    <w:rsid w:val="19C65E12"/>
    <w:rsid w:val="19C735BB"/>
    <w:rsid w:val="19D95B40"/>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547124"/>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3B3671"/>
    <w:rsid w:val="1C423FC4"/>
    <w:rsid w:val="1C47233F"/>
    <w:rsid w:val="1C4C1E62"/>
    <w:rsid w:val="1C5D00DA"/>
    <w:rsid w:val="1C6441F0"/>
    <w:rsid w:val="1C791088"/>
    <w:rsid w:val="1C7A307B"/>
    <w:rsid w:val="1C7D0C1A"/>
    <w:rsid w:val="1C7E2DD6"/>
    <w:rsid w:val="1C8561C1"/>
    <w:rsid w:val="1C905109"/>
    <w:rsid w:val="1CA53FA1"/>
    <w:rsid w:val="1CAA0F65"/>
    <w:rsid w:val="1CAD4CCB"/>
    <w:rsid w:val="1CAF7573"/>
    <w:rsid w:val="1CCC40C9"/>
    <w:rsid w:val="1CDD5D84"/>
    <w:rsid w:val="1D186F9D"/>
    <w:rsid w:val="1D1C598A"/>
    <w:rsid w:val="1D504421"/>
    <w:rsid w:val="1D7E7249"/>
    <w:rsid w:val="1D7F6660"/>
    <w:rsid w:val="1D956B63"/>
    <w:rsid w:val="1DA155EF"/>
    <w:rsid w:val="1DA251E1"/>
    <w:rsid w:val="1DA67F64"/>
    <w:rsid w:val="1DA838FE"/>
    <w:rsid w:val="1DA93704"/>
    <w:rsid w:val="1DB875D1"/>
    <w:rsid w:val="1DC5127B"/>
    <w:rsid w:val="1DDE1A57"/>
    <w:rsid w:val="1DE009E6"/>
    <w:rsid w:val="1DE4729F"/>
    <w:rsid w:val="1DF679C8"/>
    <w:rsid w:val="1E1B2BD7"/>
    <w:rsid w:val="1E224F27"/>
    <w:rsid w:val="1E2A7432"/>
    <w:rsid w:val="1E343C5D"/>
    <w:rsid w:val="1E37411F"/>
    <w:rsid w:val="1E407993"/>
    <w:rsid w:val="1E5E301B"/>
    <w:rsid w:val="1E634732"/>
    <w:rsid w:val="1E6F06AB"/>
    <w:rsid w:val="1E752FA6"/>
    <w:rsid w:val="1E814D75"/>
    <w:rsid w:val="1E826F9E"/>
    <w:rsid w:val="1E8718D1"/>
    <w:rsid w:val="1ECF1323"/>
    <w:rsid w:val="1ECF4A99"/>
    <w:rsid w:val="1ED12C2B"/>
    <w:rsid w:val="1EDC33BC"/>
    <w:rsid w:val="1EE21314"/>
    <w:rsid w:val="1EEF50E7"/>
    <w:rsid w:val="1EF72D37"/>
    <w:rsid w:val="1F0879C6"/>
    <w:rsid w:val="1F101F77"/>
    <w:rsid w:val="1F211865"/>
    <w:rsid w:val="1F295D72"/>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E58BD"/>
    <w:rsid w:val="2041466C"/>
    <w:rsid w:val="204404F8"/>
    <w:rsid w:val="20496BB2"/>
    <w:rsid w:val="204C064C"/>
    <w:rsid w:val="205164A7"/>
    <w:rsid w:val="2061396C"/>
    <w:rsid w:val="20657C49"/>
    <w:rsid w:val="206D4243"/>
    <w:rsid w:val="20707670"/>
    <w:rsid w:val="207714C5"/>
    <w:rsid w:val="207B590B"/>
    <w:rsid w:val="20843EFC"/>
    <w:rsid w:val="2090238B"/>
    <w:rsid w:val="209A2CD8"/>
    <w:rsid w:val="20A434B3"/>
    <w:rsid w:val="20AB0E60"/>
    <w:rsid w:val="20AC2B89"/>
    <w:rsid w:val="20BA4AFB"/>
    <w:rsid w:val="20BA6502"/>
    <w:rsid w:val="20CD6B95"/>
    <w:rsid w:val="20CD7D4E"/>
    <w:rsid w:val="20E00C0C"/>
    <w:rsid w:val="20E20BBA"/>
    <w:rsid w:val="20E737F7"/>
    <w:rsid w:val="20EC03B6"/>
    <w:rsid w:val="20EE04E5"/>
    <w:rsid w:val="21297D3A"/>
    <w:rsid w:val="212E17DE"/>
    <w:rsid w:val="212E7692"/>
    <w:rsid w:val="213271D8"/>
    <w:rsid w:val="213E655D"/>
    <w:rsid w:val="214D4FE0"/>
    <w:rsid w:val="215026E7"/>
    <w:rsid w:val="21592706"/>
    <w:rsid w:val="216D7544"/>
    <w:rsid w:val="21712A16"/>
    <w:rsid w:val="2173162C"/>
    <w:rsid w:val="21825FF7"/>
    <w:rsid w:val="218E2266"/>
    <w:rsid w:val="21900AEB"/>
    <w:rsid w:val="2194776B"/>
    <w:rsid w:val="21B80AA5"/>
    <w:rsid w:val="21D2685E"/>
    <w:rsid w:val="21D622AA"/>
    <w:rsid w:val="21FF7518"/>
    <w:rsid w:val="22026AE6"/>
    <w:rsid w:val="22095360"/>
    <w:rsid w:val="2214054C"/>
    <w:rsid w:val="22145011"/>
    <w:rsid w:val="221703FC"/>
    <w:rsid w:val="222A0690"/>
    <w:rsid w:val="222A56CF"/>
    <w:rsid w:val="22305995"/>
    <w:rsid w:val="2240392C"/>
    <w:rsid w:val="22491AE1"/>
    <w:rsid w:val="225216B5"/>
    <w:rsid w:val="225E20C5"/>
    <w:rsid w:val="22721A9C"/>
    <w:rsid w:val="22741A2F"/>
    <w:rsid w:val="227B42A0"/>
    <w:rsid w:val="228A40D4"/>
    <w:rsid w:val="228F22EB"/>
    <w:rsid w:val="228F6A6B"/>
    <w:rsid w:val="22922A7B"/>
    <w:rsid w:val="22A03D45"/>
    <w:rsid w:val="22A379E2"/>
    <w:rsid w:val="22A574EB"/>
    <w:rsid w:val="22A60967"/>
    <w:rsid w:val="22B0099F"/>
    <w:rsid w:val="22B37446"/>
    <w:rsid w:val="22BB2C46"/>
    <w:rsid w:val="22C750B8"/>
    <w:rsid w:val="22CB0F22"/>
    <w:rsid w:val="22D126DE"/>
    <w:rsid w:val="22D279A8"/>
    <w:rsid w:val="22DD7C0E"/>
    <w:rsid w:val="22DE275C"/>
    <w:rsid w:val="22F05B87"/>
    <w:rsid w:val="22F44E5C"/>
    <w:rsid w:val="22F960C1"/>
    <w:rsid w:val="23034661"/>
    <w:rsid w:val="23047581"/>
    <w:rsid w:val="230511FB"/>
    <w:rsid w:val="230E6CDE"/>
    <w:rsid w:val="231D7D99"/>
    <w:rsid w:val="233F7861"/>
    <w:rsid w:val="2342728C"/>
    <w:rsid w:val="234B015E"/>
    <w:rsid w:val="234F141B"/>
    <w:rsid w:val="23527BDD"/>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992B5E"/>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560FB4"/>
    <w:rsid w:val="255B68D6"/>
    <w:rsid w:val="256271F2"/>
    <w:rsid w:val="256E3452"/>
    <w:rsid w:val="25821C68"/>
    <w:rsid w:val="25AB42B8"/>
    <w:rsid w:val="25B022B3"/>
    <w:rsid w:val="25B74631"/>
    <w:rsid w:val="25B91E90"/>
    <w:rsid w:val="25DD4552"/>
    <w:rsid w:val="25E513D9"/>
    <w:rsid w:val="25EE6A79"/>
    <w:rsid w:val="25EF43C8"/>
    <w:rsid w:val="25FA471E"/>
    <w:rsid w:val="26075FA8"/>
    <w:rsid w:val="26184EF2"/>
    <w:rsid w:val="2623756A"/>
    <w:rsid w:val="262E08BF"/>
    <w:rsid w:val="26310EA6"/>
    <w:rsid w:val="263951B2"/>
    <w:rsid w:val="263E55AD"/>
    <w:rsid w:val="264B37D3"/>
    <w:rsid w:val="265B2B39"/>
    <w:rsid w:val="267F4FDD"/>
    <w:rsid w:val="26942FFE"/>
    <w:rsid w:val="26965DCF"/>
    <w:rsid w:val="269A23BD"/>
    <w:rsid w:val="26A15F1B"/>
    <w:rsid w:val="26CD5188"/>
    <w:rsid w:val="26D16230"/>
    <w:rsid w:val="26D609E2"/>
    <w:rsid w:val="26DE1868"/>
    <w:rsid w:val="26ED14DB"/>
    <w:rsid w:val="270F3C75"/>
    <w:rsid w:val="27157D13"/>
    <w:rsid w:val="27183A77"/>
    <w:rsid w:val="27217250"/>
    <w:rsid w:val="27501DD7"/>
    <w:rsid w:val="27543CE2"/>
    <w:rsid w:val="276136D1"/>
    <w:rsid w:val="2766357B"/>
    <w:rsid w:val="276C30AC"/>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ED6C77"/>
    <w:rsid w:val="27EF2EB7"/>
    <w:rsid w:val="27F84FA1"/>
    <w:rsid w:val="27FC6995"/>
    <w:rsid w:val="28096EEE"/>
    <w:rsid w:val="28140998"/>
    <w:rsid w:val="281C525D"/>
    <w:rsid w:val="282B60A0"/>
    <w:rsid w:val="282D617B"/>
    <w:rsid w:val="283146AB"/>
    <w:rsid w:val="2834674F"/>
    <w:rsid w:val="28460713"/>
    <w:rsid w:val="285279BC"/>
    <w:rsid w:val="28563053"/>
    <w:rsid w:val="285C7146"/>
    <w:rsid w:val="285D2A4F"/>
    <w:rsid w:val="28685F9C"/>
    <w:rsid w:val="286F24C0"/>
    <w:rsid w:val="288837AF"/>
    <w:rsid w:val="288B5171"/>
    <w:rsid w:val="288C6204"/>
    <w:rsid w:val="28954CDC"/>
    <w:rsid w:val="28A96A0F"/>
    <w:rsid w:val="28B71B2C"/>
    <w:rsid w:val="28C4207C"/>
    <w:rsid w:val="28C92B51"/>
    <w:rsid w:val="28D95DFB"/>
    <w:rsid w:val="28DD5033"/>
    <w:rsid w:val="28EE7A07"/>
    <w:rsid w:val="28FE675D"/>
    <w:rsid w:val="29003A13"/>
    <w:rsid w:val="290131C6"/>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C60F0"/>
    <w:rsid w:val="29C63F6C"/>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B5A00"/>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2907BF"/>
    <w:rsid w:val="2C2A3701"/>
    <w:rsid w:val="2C3141F7"/>
    <w:rsid w:val="2C3E1BC4"/>
    <w:rsid w:val="2C45636A"/>
    <w:rsid w:val="2C536973"/>
    <w:rsid w:val="2C5A1C73"/>
    <w:rsid w:val="2C5A6041"/>
    <w:rsid w:val="2C7208C6"/>
    <w:rsid w:val="2C80477B"/>
    <w:rsid w:val="2C852D34"/>
    <w:rsid w:val="2C8F4F35"/>
    <w:rsid w:val="2CA73FE3"/>
    <w:rsid w:val="2CAD6FE3"/>
    <w:rsid w:val="2CC91D44"/>
    <w:rsid w:val="2CD46AFB"/>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B03B8C"/>
    <w:rsid w:val="2EC109FC"/>
    <w:rsid w:val="2EC872A0"/>
    <w:rsid w:val="2ECB7AE0"/>
    <w:rsid w:val="2EDD247F"/>
    <w:rsid w:val="2EE13DEB"/>
    <w:rsid w:val="2EEA1087"/>
    <w:rsid w:val="2EEF5B78"/>
    <w:rsid w:val="2EF90C24"/>
    <w:rsid w:val="2EFB3516"/>
    <w:rsid w:val="2EFD4FC3"/>
    <w:rsid w:val="2F062E39"/>
    <w:rsid w:val="2F0E5D72"/>
    <w:rsid w:val="2F0F4AC2"/>
    <w:rsid w:val="2F235269"/>
    <w:rsid w:val="2F322289"/>
    <w:rsid w:val="2F3770E3"/>
    <w:rsid w:val="2F413C94"/>
    <w:rsid w:val="2F494297"/>
    <w:rsid w:val="2F4B1C2D"/>
    <w:rsid w:val="2F5907B6"/>
    <w:rsid w:val="2F614136"/>
    <w:rsid w:val="2F691CE7"/>
    <w:rsid w:val="2F787B26"/>
    <w:rsid w:val="2F7D0DE5"/>
    <w:rsid w:val="2F7F3D54"/>
    <w:rsid w:val="2F8B2E0E"/>
    <w:rsid w:val="2F8E55F2"/>
    <w:rsid w:val="2F907976"/>
    <w:rsid w:val="2F914D18"/>
    <w:rsid w:val="2FA442D1"/>
    <w:rsid w:val="2FC15AF9"/>
    <w:rsid w:val="2FCF12B0"/>
    <w:rsid w:val="2FDC4E75"/>
    <w:rsid w:val="2FE27C57"/>
    <w:rsid w:val="2FFE78CA"/>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B63B0"/>
    <w:rsid w:val="30DC4E37"/>
    <w:rsid w:val="30DC72B8"/>
    <w:rsid w:val="30E21C94"/>
    <w:rsid w:val="30F80D4D"/>
    <w:rsid w:val="30FF1022"/>
    <w:rsid w:val="30FF1DEC"/>
    <w:rsid w:val="3103748A"/>
    <w:rsid w:val="310C0761"/>
    <w:rsid w:val="310D7287"/>
    <w:rsid w:val="311B77D4"/>
    <w:rsid w:val="312C2F69"/>
    <w:rsid w:val="313A0372"/>
    <w:rsid w:val="31414D46"/>
    <w:rsid w:val="3160421C"/>
    <w:rsid w:val="3162168B"/>
    <w:rsid w:val="316535BE"/>
    <w:rsid w:val="316C26E3"/>
    <w:rsid w:val="31770A21"/>
    <w:rsid w:val="31B6217A"/>
    <w:rsid w:val="31BC4646"/>
    <w:rsid w:val="31BF532C"/>
    <w:rsid w:val="31E57565"/>
    <w:rsid w:val="31F27F9B"/>
    <w:rsid w:val="31F303E4"/>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4325"/>
    <w:rsid w:val="32A57DB8"/>
    <w:rsid w:val="32AD1732"/>
    <w:rsid w:val="32B21FB8"/>
    <w:rsid w:val="32D55D5C"/>
    <w:rsid w:val="32EC2013"/>
    <w:rsid w:val="32F524E6"/>
    <w:rsid w:val="32F7411E"/>
    <w:rsid w:val="33021368"/>
    <w:rsid w:val="330351F5"/>
    <w:rsid w:val="33093C5C"/>
    <w:rsid w:val="33121D18"/>
    <w:rsid w:val="33133DBA"/>
    <w:rsid w:val="33294831"/>
    <w:rsid w:val="332C5A43"/>
    <w:rsid w:val="33324BBF"/>
    <w:rsid w:val="334138EA"/>
    <w:rsid w:val="33491F36"/>
    <w:rsid w:val="3354569D"/>
    <w:rsid w:val="3363226B"/>
    <w:rsid w:val="33664E15"/>
    <w:rsid w:val="336D5768"/>
    <w:rsid w:val="3373089A"/>
    <w:rsid w:val="337310CE"/>
    <w:rsid w:val="33883009"/>
    <w:rsid w:val="33917AD8"/>
    <w:rsid w:val="339433F2"/>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4175CA"/>
    <w:rsid w:val="345968B4"/>
    <w:rsid w:val="346C2BDC"/>
    <w:rsid w:val="346F0383"/>
    <w:rsid w:val="34704206"/>
    <w:rsid w:val="34725BC1"/>
    <w:rsid w:val="347A4842"/>
    <w:rsid w:val="347C1F8E"/>
    <w:rsid w:val="349A14CC"/>
    <w:rsid w:val="349E15E4"/>
    <w:rsid w:val="349E4539"/>
    <w:rsid w:val="349E7311"/>
    <w:rsid w:val="34AC3B1F"/>
    <w:rsid w:val="34B32942"/>
    <w:rsid w:val="34BA5F8F"/>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7272C"/>
    <w:rsid w:val="361A0DD1"/>
    <w:rsid w:val="363A75C1"/>
    <w:rsid w:val="364C03A6"/>
    <w:rsid w:val="365B19BC"/>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733277"/>
    <w:rsid w:val="37836450"/>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1144C"/>
    <w:rsid w:val="38915991"/>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9EE5FCB"/>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8666D"/>
    <w:rsid w:val="3B7457AD"/>
    <w:rsid w:val="3B7B144D"/>
    <w:rsid w:val="3B7F12F6"/>
    <w:rsid w:val="3B8E2DEE"/>
    <w:rsid w:val="3B920EC0"/>
    <w:rsid w:val="3B924465"/>
    <w:rsid w:val="3B9C5361"/>
    <w:rsid w:val="3BA53541"/>
    <w:rsid w:val="3BA94452"/>
    <w:rsid w:val="3BFC0B7A"/>
    <w:rsid w:val="3C031B6A"/>
    <w:rsid w:val="3C151A6E"/>
    <w:rsid w:val="3C1A13D5"/>
    <w:rsid w:val="3C1F3CDD"/>
    <w:rsid w:val="3C3318F7"/>
    <w:rsid w:val="3C4A7007"/>
    <w:rsid w:val="3C5A7C30"/>
    <w:rsid w:val="3C5B5552"/>
    <w:rsid w:val="3C7A34E1"/>
    <w:rsid w:val="3C7D31D5"/>
    <w:rsid w:val="3C857E1F"/>
    <w:rsid w:val="3C8642A5"/>
    <w:rsid w:val="3C8B2EA4"/>
    <w:rsid w:val="3C943D9C"/>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230EF3"/>
    <w:rsid w:val="3D264775"/>
    <w:rsid w:val="3D42795C"/>
    <w:rsid w:val="3D5A0AB6"/>
    <w:rsid w:val="3D5A19A0"/>
    <w:rsid w:val="3D5D4541"/>
    <w:rsid w:val="3D606F86"/>
    <w:rsid w:val="3D640D9F"/>
    <w:rsid w:val="3D6F2596"/>
    <w:rsid w:val="3D753E3B"/>
    <w:rsid w:val="3D7961D3"/>
    <w:rsid w:val="3D811642"/>
    <w:rsid w:val="3D8F6A91"/>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6478E"/>
    <w:rsid w:val="3E1A5B77"/>
    <w:rsid w:val="3E3D115C"/>
    <w:rsid w:val="3E4E1DB0"/>
    <w:rsid w:val="3E575439"/>
    <w:rsid w:val="3E5A00F1"/>
    <w:rsid w:val="3E6A10AA"/>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008E9"/>
    <w:rsid w:val="3F2D08FC"/>
    <w:rsid w:val="3F304187"/>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22487"/>
    <w:rsid w:val="3FB16EF0"/>
    <w:rsid w:val="3FBE5D52"/>
    <w:rsid w:val="3FC27779"/>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607B89"/>
    <w:rsid w:val="4061732D"/>
    <w:rsid w:val="40630701"/>
    <w:rsid w:val="406623B1"/>
    <w:rsid w:val="40674790"/>
    <w:rsid w:val="406B17E1"/>
    <w:rsid w:val="40705D5D"/>
    <w:rsid w:val="408B26C8"/>
    <w:rsid w:val="409301A5"/>
    <w:rsid w:val="4093799E"/>
    <w:rsid w:val="40970524"/>
    <w:rsid w:val="409C01D6"/>
    <w:rsid w:val="40A30E28"/>
    <w:rsid w:val="40AB266E"/>
    <w:rsid w:val="40AC6375"/>
    <w:rsid w:val="40AD2732"/>
    <w:rsid w:val="40BB53F7"/>
    <w:rsid w:val="40C765F3"/>
    <w:rsid w:val="40C83E6D"/>
    <w:rsid w:val="40CB1CD0"/>
    <w:rsid w:val="40D310E0"/>
    <w:rsid w:val="40E1213A"/>
    <w:rsid w:val="40E6301D"/>
    <w:rsid w:val="41071BAC"/>
    <w:rsid w:val="41104677"/>
    <w:rsid w:val="411D3E3F"/>
    <w:rsid w:val="411E7076"/>
    <w:rsid w:val="41256FB7"/>
    <w:rsid w:val="41343624"/>
    <w:rsid w:val="4136428A"/>
    <w:rsid w:val="4151503B"/>
    <w:rsid w:val="4154071D"/>
    <w:rsid w:val="415E6D8D"/>
    <w:rsid w:val="41680B02"/>
    <w:rsid w:val="418A322B"/>
    <w:rsid w:val="41920E65"/>
    <w:rsid w:val="419C5A30"/>
    <w:rsid w:val="419D110A"/>
    <w:rsid w:val="41AA6F9D"/>
    <w:rsid w:val="41CD1A27"/>
    <w:rsid w:val="41CF3183"/>
    <w:rsid w:val="41D557AB"/>
    <w:rsid w:val="41D85155"/>
    <w:rsid w:val="41DC1619"/>
    <w:rsid w:val="41E7465F"/>
    <w:rsid w:val="41E75166"/>
    <w:rsid w:val="41ED54BF"/>
    <w:rsid w:val="41F149C4"/>
    <w:rsid w:val="41FA7589"/>
    <w:rsid w:val="420C7BFF"/>
    <w:rsid w:val="42153CB9"/>
    <w:rsid w:val="42173DAF"/>
    <w:rsid w:val="422C5034"/>
    <w:rsid w:val="422F559A"/>
    <w:rsid w:val="4233275D"/>
    <w:rsid w:val="424878B4"/>
    <w:rsid w:val="425179DC"/>
    <w:rsid w:val="42706590"/>
    <w:rsid w:val="427425EE"/>
    <w:rsid w:val="42790331"/>
    <w:rsid w:val="42840EDA"/>
    <w:rsid w:val="42851912"/>
    <w:rsid w:val="428F581C"/>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20CDD"/>
    <w:rsid w:val="42F93C76"/>
    <w:rsid w:val="42FF665F"/>
    <w:rsid w:val="430831F4"/>
    <w:rsid w:val="43090B64"/>
    <w:rsid w:val="431B3263"/>
    <w:rsid w:val="432E7531"/>
    <w:rsid w:val="434941B7"/>
    <w:rsid w:val="436551FA"/>
    <w:rsid w:val="43776349"/>
    <w:rsid w:val="437C6024"/>
    <w:rsid w:val="437D79B6"/>
    <w:rsid w:val="43A46A86"/>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2E357E"/>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7847A0"/>
    <w:rsid w:val="467D17CB"/>
    <w:rsid w:val="467D7DD7"/>
    <w:rsid w:val="46830DA3"/>
    <w:rsid w:val="4697740A"/>
    <w:rsid w:val="46AE6F33"/>
    <w:rsid w:val="46C6208F"/>
    <w:rsid w:val="46DA12C7"/>
    <w:rsid w:val="46EF544C"/>
    <w:rsid w:val="46F714E0"/>
    <w:rsid w:val="46F91A62"/>
    <w:rsid w:val="471B5457"/>
    <w:rsid w:val="471C6A14"/>
    <w:rsid w:val="471D28E4"/>
    <w:rsid w:val="473010D7"/>
    <w:rsid w:val="4732695E"/>
    <w:rsid w:val="47334610"/>
    <w:rsid w:val="4750610E"/>
    <w:rsid w:val="47525277"/>
    <w:rsid w:val="4753781A"/>
    <w:rsid w:val="478A1DFA"/>
    <w:rsid w:val="47927375"/>
    <w:rsid w:val="47971FDC"/>
    <w:rsid w:val="479D1728"/>
    <w:rsid w:val="47A928F1"/>
    <w:rsid w:val="47C806EC"/>
    <w:rsid w:val="47F0637D"/>
    <w:rsid w:val="47F40E9D"/>
    <w:rsid w:val="48125136"/>
    <w:rsid w:val="481C0CDA"/>
    <w:rsid w:val="481C6030"/>
    <w:rsid w:val="48252F6B"/>
    <w:rsid w:val="482C6CD1"/>
    <w:rsid w:val="483E6C5F"/>
    <w:rsid w:val="4853345A"/>
    <w:rsid w:val="485A127C"/>
    <w:rsid w:val="485F5D85"/>
    <w:rsid w:val="48622F87"/>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8E3129"/>
    <w:rsid w:val="49982D33"/>
    <w:rsid w:val="499F4C2E"/>
    <w:rsid w:val="49A47839"/>
    <w:rsid w:val="49B2576C"/>
    <w:rsid w:val="49C4340C"/>
    <w:rsid w:val="49C4368E"/>
    <w:rsid w:val="49C46503"/>
    <w:rsid w:val="49CA57C6"/>
    <w:rsid w:val="49D31B32"/>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46B17"/>
    <w:rsid w:val="4A59738B"/>
    <w:rsid w:val="4A6D16EF"/>
    <w:rsid w:val="4A7C4548"/>
    <w:rsid w:val="4A863BCC"/>
    <w:rsid w:val="4A8E1463"/>
    <w:rsid w:val="4A95327B"/>
    <w:rsid w:val="4AAB5D97"/>
    <w:rsid w:val="4AB043A7"/>
    <w:rsid w:val="4AC15779"/>
    <w:rsid w:val="4AC66745"/>
    <w:rsid w:val="4ACF3B43"/>
    <w:rsid w:val="4AD202C9"/>
    <w:rsid w:val="4ADE2C90"/>
    <w:rsid w:val="4AEE031F"/>
    <w:rsid w:val="4AEE473A"/>
    <w:rsid w:val="4AF03277"/>
    <w:rsid w:val="4B2A6621"/>
    <w:rsid w:val="4B354AAC"/>
    <w:rsid w:val="4B3D6072"/>
    <w:rsid w:val="4B3F449C"/>
    <w:rsid w:val="4B5B5B93"/>
    <w:rsid w:val="4B6E0793"/>
    <w:rsid w:val="4B7606DB"/>
    <w:rsid w:val="4B7F2D98"/>
    <w:rsid w:val="4B850E6F"/>
    <w:rsid w:val="4B8D7E6C"/>
    <w:rsid w:val="4B901389"/>
    <w:rsid w:val="4B956F5E"/>
    <w:rsid w:val="4B986207"/>
    <w:rsid w:val="4B987896"/>
    <w:rsid w:val="4B9969CA"/>
    <w:rsid w:val="4BA04F33"/>
    <w:rsid w:val="4BBF3E20"/>
    <w:rsid w:val="4BC05ECF"/>
    <w:rsid w:val="4BD05051"/>
    <w:rsid w:val="4BD505B4"/>
    <w:rsid w:val="4BE44723"/>
    <w:rsid w:val="4BE96D5A"/>
    <w:rsid w:val="4BF54BAD"/>
    <w:rsid w:val="4BF66867"/>
    <w:rsid w:val="4BFE2AE1"/>
    <w:rsid w:val="4C054590"/>
    <w:rsid w:val="4C0C6994"/>
    <w:rsid w:val="4C292792"/>
    <w:rsid w:val="4C2C30BE"/>
    <w:rsid w:val="4C2C46A1"/>
    <w:rsid w:val="4C3A2A9D"/>
    <w:rsid w:val="4C5A4EBB"/>
    <w:rsid w:val="4C5D2EB7"/>
    <w:rsid w:val="4C5F1FCE"/>
    <w:rsid w:val="4C662364"/>
    <w:rsid w:val="4C6B32F7"/>
    <w:rsid w:val="4C6B7F97"/>
    <w:rsid w:val="4C7C3579"/>
    <w:rsid w:val="4C870899"/>
    <w:rsid w:val="4C8A164A"/>
    <w:rsid w:val="4C8B5DCD"/>
    <w:rsid w:val="4C8D7B0E"/>
    <w:rsid w:val="4C984AEE"/>
    <w:rsid w:val="4CAB3057"/>
    <w:rsid w:val="4CB629EB"/>
    <w:rsid w:val="4CBD15B4"/>
    <w:rsid w:val="4CBF03D6"/>
    <w:rsid w:val="4CC552E2"/>
    <w:rsid w:val="4CFE4516"/>
    <w:rsid w:val="4CFF6DF1"/>
    <w:rsid w:val="4D014AEF"/>
    <w:rsid w:val="4D105B68"/>
    <w:rsid w:val="4D1E3273"/>
    <w:rsid w:val="4D2204B2"/>
    <w:rsid w:val="4D28720C"/>
    <w:rsid w:val="4D49433F"/>
    <w:rsid w:val="4D513299"/>
    <w:rsid w:val="4D543D12"/>
    <w:rsid w:val="4D5E3588"/>
    <w:rsid w:val="4D680CE9"/>
    <w:rsid w:val="4D6F30CD"/>
    <w:rsid w:val="4D800373"/>
    <w:rsid w:val="4D8D2AE5"/>
    <w:rsid w:val="4D901F00"/>
    <w:rsid w:val="4D9A77EC"/>
    <w:rsid w:val="4D9D5F78"/>
    <w:rsid w:val="4D9E74D1"/>
    <w:rsid w:val="4DA22392"/>
    <w:rsid w:val="4DBC2EE2"/>
    <w:rsid w:val="4DBE5704"/>
    <w:rsid w:val="4DEC4B69"/>
    <w:rsid w:val="4DF96CBC"/>
    <w:rsid w:val="4E0F493A"/>
    <w:rsid w:val="4E171ADD"/>
    <w:rsid w:val="4E22193F"/>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450CCE"/>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E437A"/>
    <w:rsid w:val="50C953D1"/>
    <w:rsid w:val="50E042AF"/>
    <w:rsid w:val="50E77A58"/>
    <w:rsid w:val="50FD1A3E"/>
    <w:rsid w:val="51041EDF"/>
    <w:rsid w:val="510F112C"/>
    <w:rsid w:val="511836CB"/>
    <w:rsid w:val="512A28CE"/>
    <w:rsid w:val="51394C04"/>
    <w:rsid w:val="513C5648"/>
    <w:rsid w:val="515143AB"/>
    <w:rsid w:val="515A17DC"/>
    <w:rsid w:val="51651E90"/>
    <w:rsid w:val="51685DFA"/>
    <w:rsid w:val="516F7F7A"/>
    <w:rsid w:val="51705953"/>
    <w:rsid w:val="51725D98"/>
    <w:rsid w:val="51736098"/>
    <w:rsid w:val="517B7B1C"/>
    <w:rsid w:val="518C69D5"/>
    <w:rsid w:val="51B14BED"/>
    <w:rsid w:val="51C407B0"/>
    <w:rsid w:val="51C71898"/>
    <w:rsid w:val="51EE252C"/>
    <w:rsid w:val="51FA3D86"/>
    <w:rsid w:val="51FF0971"/>
    <w:rsid w:val="52022698"/>
    <w:rsid w:val="52035590"/>
    <w:rsid w:val="52064582"/>
    <w:rsid w:val="52122401"/>
    <w:rsid w:val="521734BE"/>
    <w:rsid w:val="523121F8"/>
    <w:rsid w:val="52365D1B"/>
    <w:rsid w:val="523913EB"/>
    <w:rsid w:val="523A67B8"/>
    <w:rsid w:val="524A3780"/>
    <w:rsid w:val="524B1A46"/>
    <w:rsid w:val="525D5B20"/>
    <w:rsid w:val="52600B88"/>
    <w:rsid w:val="526965AA"/>
    <w:rsid w:val="5273227D"/>
    <w:rsid w:val="52784DDC"/>
    <w:rsid w:val="52840D9F"/>
    <w:rsid w:val="52963B66"/>
    <w:rsid w:val="529C732E"/>
    <w:rsid w:val="52A07902"/>
    <w:rsid w:val="52AC16F5"/>
    <w:rsid w:val="52D25D28"/>
    <w:rsid w:val="52D71166"/>
    <w:rsid w:val="52E60C81"/>
    <w:rsid w:val="52F02B21"/>
    <w:rsid w:val="52FF3969"/>
    <w:rsid w:val="530957E9"/>
    <w:rsid w:val="531E2281"/>
    <w:rsid w:val="53793823"/>
    <w:rsid w:val="537B7A51"/>
    <w:rsid w:val="53851D77"/>
    <w:rsid w:val="53906F76"/>
    <w:rsid w:val="539874D1"/>
    <w:rsid w:val="53A900B3"/>
    <w:rsid w:val="53AA2BCF"/>
    <w:rsid w:val="53BE4BF9"/>
    <w:rsid w:val="53D075DD"/>
    <w:rsid w:val="53D37BF3"/>
    <w:rsid w:val="53D43A38"/>
    <w:rsid w:val="53D65728"/>
    <w:rsid w:val="53DB0569"/>
    <w:rsid w:val="53FE42EB"/>
    <w:rsid w:val="53FF3ABE"/>
    <w:rsid w:val="5400711B"/>
    <w:rsid w:val="54175BE1"/>
    <w:rsid w:val="54192F65"/>
    <w:rsid w:val="543770F8"/>
    <w:rsid w:val="543B6EBE"/>
    <w:rsid w:val="5445166E"/>
    <w:rsid w:val="54632332"/>
    <w:rsid w:val="546A5504"/>
    <w:rsid w:val="546F0D2A"/>
    <w:rsid w:val="54706638"/>
    <w:rsid w:val="547236DF"/>
    <w:rsid w:val="547B4986"/>
    <w:rsid w:val="54837C53"/>
    <w:rsid w:val="548D1E83"/>
    <w:rsid w:val="54944CE7"/>
    <w:rsid w:val="549555A5"/>
    <w:rsid w:val="549E7BA6"/>
    <w:rsid w:val="54AF6E20"/>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5203D4"/>
    <w:rsid w:val="565207DC"/>
    <w:rsid w:val="565631F5"/>
    <w:rsid w:val="566B26ED"/>
    <w:rsid w:val="566D297A"/>
    <w:rsid w:val="56803118"/>
    <w:rsid w:val="56895945"/>
    <w:rsid w:val="568E12A1"/>
    <w:rsid w:val="56915A65"/>
    <w:rsid w:val="56A63821"/>
    <w:rsid w:val="56AA0A07"/>
    <w:rsid w:val="56AA6DC0"/>
    <w:rsid w:val="56C44CD3"/>
    <w:rsid w:val="56D62670"/>
    <w:rsid w:val="56D75436"/>
    <w:rsid w:val="56DB045D"/>
    <w:rsid w:val="56E11D16"/>
    <w:rsid w:val="56E17FE8"/>
    <w:rsid w:val="56E83A21"/>
    <w:rsid w:val="57050C83"/>
    <w:rsid w:val="57055BD6"/>
    <w:rsid w:val="571A1CB0"/>
    <w:rsid w:val="57213FE5"/>
    <w:rsid w:val="572D67AB"/>
    <w:rsid w:val="573F708F"/>
    <w:rsid w:val="57435BFF"/>
    <w:rsid w:val="575426FE"/>
    <w:rsid w:val="575F25E8"/>
    <w:rsid w:val="576B65C3"/>
    <w:rsid w:val="576D7C54"/>
    <w:rsid w:val="577A589D"/>
    <w:rsid w:val="578177D3"/>
    <w:rsid w:val="57AA7E41"/>
    <w:rsid w:val="57AC0C0D"/>
    <w:rsid w:val="57BC04B5"/>
    <w:rsid w:val="57C166D8"/>
    <w:rsid w:val="57C54F8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D7E81"/>
    <w:rsid w:val="597E00DF"/>
    <w:rsid w:val="5980128D"/>
    <w:rsid w:val="599935B0"/>
    <w:rsid w:val="59B9269D"/>
    <w:rsid w:val="59BB2A6E"/>
    <w:rsid w:val="59C61854"/>
    <w:rsid w:val="59E6424E"/>
    <w:rsid w:val="59E81791"/>
    <w:rsid w:val="59F6397D"/>
    <w:rsid w:val="59FB6BE2"/>
    <w:rsid w:val="5A026E4D"/>
    <w:rsid w:val="5A06033D"/>
    <w:rsid w:val="5A0E79AC"/>
    <w:rsid w:val="5A0F0265"/>
    <w:rsid w:val="5A123B05"/>
    <w:rsid w:val="5A142254"/>
    <w:rsid w:val="5A1D52E7"/>
    <w:rsid w:val="5A3773BC"/>
    <w:rsid w:val="5A496BD5"/>
    <w:rsid w:val="5A4B2EA3"/>
    <w:rsid w:val="5A5E7743"/>
    <w:rsid w:val="5A604DB4"/>
    <w:rsid w:val="5A6934B1"/>
    <w:rsid w:val="5A8D4FC0"/>
    <w:rsid w:val="5A8F1C82"/>
    <w:rsid w:val="5A952381"/>
    <w:rsid w:val="5AA04D8D"/>
    <w:rsid w:val="5AA333BB"/>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BFE4FF1"/>
    <w:rsid w:val="5C0025C0"/>
    <w:rsid w:val="5C0547A9"/>
    <w:rsid w:val="5C070CC9"/>
    <w:rsid w:val="5C0B0C40"/>
    <w:rsid w:val="5C102B71"/>
    <w:rsid w:val="5C180007"/>
    <w:rsid w:val="5C385030"/>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E07B6A"/>
    <w:rsid w:val="5CE260C2"/>
    <w:rsid w:val="5CE61EE8"/>
    <w:rsid w:val="5D0728CF"/>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32CBB"/>
    <w:rsid w:val="5DC937A1"/>
    <w:rsid w:val="5DD65619"/>
    <w:rsid w:val="5DEF6B62"/>
    <w:rsid w:val="5DF47982"/>
    <w:rsid w:val="5E002949"/>
    <w:rsid w:val="5E00755C"/>
    <w:rsid w:val="5E0C5358"/>
    <w:rsid w:val="5E0E66F5"/>
    <w:rsid w:val="5E134235"/>
    <w:rsid w:val="5E21291C"/>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D54F4"/>
    <w:rsid w:val="5F5F081B"/>
    <w:rsid w:val="5F704D56"/>
    <w:rsid w:val="5F777336"/>
    <w:rsid w:val="5F862DF9"/>
    <w:rsid w:val="5FA257C6"/>
    <w:rsid w:val="5FAF7822"/>
    <w:rsid w:val="5FB05672"/>
    <w:rsid w:val="5FB47FA0"/>
    <w:rsid w:val="5FB50525"/>
    <w:rsid w:val="5FB57D4D"/>
    <w:rsid w:val="5FC6541D"/>
    <w:rsid w:val="5FCD3868"/>
    <w:rsid w:val="5FE36844"/>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A1F71"/>
    <w:rsid w:val="606B5631"/>
    <w:rsid w:val="606D2E98"/>
    <w:rsid w:val="606F0967"/>
    <w:rsid w:val="607540C8"/>
    <w:rsid w:val="608E2F6C"/>
    <w:rsid w:val="60B405E8"/>
    <w:rsid w:val="60BF382B"/>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964409"/>
    <w:rsid w:val="61A058F7"/>
    <w:rsid w:val="61A93693"/>
    <w:rsid w:val="61AF41C2"/>
    <w:rsid w:val="61B66917"/>
    <w:rsid w:val="61BC3B1A"/>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B6615"/>
    <w:rsid w:val="63BD4B8F"/>
    <w:rsid w:val="63C82D94"/>
    <w:rsid w:val="63D0005D"/>
    <w:rsid w:val="63D15554"/>
    <w:rsid w:val="63D81C8F"/>
    <w:rsid w:val="63DE5D65"/>
    <w:rsid w:val="63DF6605"/>
    <w:rsid w:val="63E23D45"/>
    <w:rsid w:val="63F95413"/>
    <w:rsid w:val="64097EB3"/>
    <w:rsid w:val="642C4473"/>
    <w:rsid w:val="64337DBE"/>
    <w:rsid w:val="643451D3"/>
    <w:rsid w:val="643F6D4B"/>
    <w:rsid w:val="64456269"/>
    <w:rsid w:val="64467B93"/>
    <w:rsid w:val="645018E6"/>
    <w:rsid w:val="64511EDE"/>
    <w:rsid w:val="645A20B6"/>
    <w:rsid w:val="64630D1E"/>
    <w:rsid w:val="6478176D"/>
    <w:rsid w:val="64813F51"/>
    <w:rsid w:val="64835CDD"/>
    <w:rsid w:val="6486251A"/>
    <w:rsid w:val="64900E0A"/>
    <w:rsid w:val="64AB2A66"/>
    <w:rsid w:val="64B7605C"/>
    <w:rsid w:val="64BD6580"/>
    <w:rsid w:val="64DA5521"/>
    <w:rsid w:val="64E205AE"/>
    <w:rsid w:val="64E93EF1"/>
    <w:rsid w:val="64F17473"/>
    <w:rsid w:val="65026BCD"/>
    <w:rsid w:val="650D3C56"/>
    <w:rsid w:val="652564C3"/>
    <w:rsid w:val="652B096E"/>
    <w:rsid w:val="65326763"/>
    <w:rsid w:val="65357589"/>
    <w:rsid w:val="65530E49"/>
    <w:rsid w:val="65551112"/>
    <w:rsid w:val="657732B5"/>
    <w:rsid w:val="65834C72"/>
    <w:rsid w:val="658573D0"/>
    <w:rsid w:val="658B678B"/>
    <w:rsid w:val="659B4F26"/>
    <w:rsid w:val="659C4A0A"/>
    <w:rsid w:val="65A71F82"/>
    <w:rsid w:val="65B72335"/>
    <w:rsid w:val="65C649BC"/>
    <w:rsid w:val="65E55EB8"/>
    <w:rsid w:val="65E73B66"/>
    <w:rsid w:val="65E83282"/>
    <w:rsid w:val="66022F90"/>
    <w:rsid w:val="66044FCB"/>
    <w:rsid w:val="660514B3"/>
    <w:rsid w:val="66131984"/>
    <w:rsid w:val="66187135"/>
    <w:rsid w:val="661B7E76"/>
    <w:rsid w:val="662429BB"/>
    <w:rsid w:val="662831A9"/>
    <w:rsid w:val="662C4F94"/>
    <w:rsid w:val="66313D38"/>
    <w:rsid w:val="66335922"/>
    <w:rsid w:val="663A7E7B"/>
    <w:rsid w:val="66452ADE"/>
    <w:rsid w:val="664A22D3"/>
    <w:rsid w:val="66646842"/>
    <w:rsid w:val="666C6F00"/>
    <w:rsid w:val="666C7096"/>
    <w:rsid w:val="66773AC9"/>
    <w:rsid w:val="66787D6F"/>
    <w:rsid w:val="668817F3"/>
    <w:rsid w:val="66897717"/>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92BF6"/>
    <w:rsid w:val="671A4A9C"/>
    <w:rsid w:val="671B4A83"/>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53DEE"/>
    <w:rsid w:val="67C74FB0"/>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4E5A28"/>
    <w:rsid w:val="6859131D"/>
    <w:rsid w:val="685B5036"/>
    <w:rsid w:val="68612CB6"/>
    <w:rsid w:val="68667455"/>
    <w:rsid w:val="6867315A"/>
    <w:rsid w:val="68A23115"/>
    <w:rsid w:val="68AF7BA7"/>
    <w:rsid w:val="68CE29AC"/>
    <w:rsid w:val="68E34076"/>
    <w:rsid w:val="68E65681"/>
    <w:rsid w:val="68F145B5"/>
    <w:rsid w:val="68FA5214"/>
    <w:rsid w:val="69042888"/>
    <w:rsid w:val="6906197A"/>
    <w:rsid w:val="690C637F"/>
    <w:rsid w:val="692A17F3"/>
    <w:rsid w:val="692A799A"/>
    <w:rsid w:val="692C4A1B"/>
    <w:rsid w:val="69360DF4"/>
    <w:rsid w:val="693B629B"/>
    <w:rsid w:val="69477B83"/>
    <w:rsid w:val="696F6003"/>
    <w:rsid w:val="698771E6"/>
    <w:rsid w:val="699B1540"/>
    <w:rsid w:val="699D4818"/>
    <w:rsid w:val="69C27972"/>
    <w:rsid w:val="69C43979"/>
    <w:rsid w:val="69C9231B"/>
    <w:rsid w:val="69DC5EE6"/>
    <w:rsid w:val="69DD4B38"/>
    <w:rsid w:val="69DE1829"/>
    <w:rsid w:val="6A0B7E27"/>
    <w:rsid w:val="6A15604C"/>
    <w:rsid w:val="6A2E4954"/>
    <w:rsid w:val="6A3014CE"/>
    <w:rsid w:val="6A532960"/>
    <w:rsid w:val="6A557981"/>
    <w:rsid w:val="6A5859DD"/>
    <w:rsid w:val="6A6A771D"/>
    <w:rsid w:val="6A6E396D"/>
    <w:rsid w:val="6A741F16"/>
    <w:rsid w:val="6A7E2CA7"/>
    <w:rsid w:val="6A9E04C5"/>
    <w:rsid w:val="6AA507AA"/>
    <w:rsid w:val="6AC07030"/>
    <w:rsid w:val="6AC9421D"/>
    <w:rsid w:val="6AD53613"/>
    <w:rsid w:val="6AD94F47"/>
    <w:rsid w:val="6AE641A3"/>
    <w:rsid w:val="6AE91DBD"/>
    <w:rsid w:val="6AEF29C9"/>
    <w:rsid w:val="6B025A88"/>
    <w:rsid w:val="6B281153"/>
    <w:rsid w:val="6B30618D"/>
    <w:rsid w:val="6B4C3B26"/>
    <w:rsid w:val="6B6162D1"/>
    <w:rsid w:val="6B7747FD"/>
    <w:rsid w:val="6B8D6111"/>
    <w:rsid w:val="6B9C3AE5"/>
    <w:rsid w:val="6BA924EB"/>
    <w:rsid w:val="6BB3693A"/>
    <w:rsid w:val="6BB3754C"/>
    <w:rsid w:val="6BB44253"/>
    <w:rsid w:val="6BBE51DA"/>
    <w:rsid w:val="6BC86908"/>
    <w:rsid w:val="6BCE245B"/>
    <w:rsid w:val="6BD44297"/>
    <w:rsid w:val="6BDB0A87"/>
    <w:rsid w:val="6BE00053"/>
    <w:rsid w:val="6BEB5350"/>
    <w:rsid w:val="6BEC49EE"/>
    <w:rsid w:val="6BEC7C68"/>
    <w:rsid w:val="6BEE39CD"/>
    <w:rsid w:val="6C0C287C"/>
    <w:rsid w:val="6C294501"/>
    <w:rsid w:val="6C39658E"/>
    <w:rsid w:val="6C4C2667"/>
    <w:rsid w:val="6CA51813"/>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885BC2"/>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B4B36"/>
    <w:rsid w:val="70E040A3"/>
    <w:rsid w:val="70E13200"/>
    <w:rsid w:val="70E62FE2"/>
    <w:rsid w:val="70E91C33"/>
    <w:rsid w:val="70EE53BA"/>
    <w:rsid w:val="70FF3D31"/>
    <w:rsid w:val="71016892"/>
    <w:rsid w:val="710B7588"/>
    <w:rsid w:val="71124891"/>
    <w:rsid w:val="7139612D"/>
    <w:rsid w:val="713E1029"/>
    <w:rsid w:val="71433F1D"/>
    <w:rsid w:val="714420CD"/>
    <w:rsid w:val="71466AC5"/>
    <w:rsid w:val="71546923"/>
    <w:rsid w:val="715F4C2D"/>
    <w:rsid w:val="716E56FB"/>
    <w:rsid w:val="71730FAE"/>
    <w:rsid w:val="71742846"/>
    <w:rsid w:val="71841719"/>
    <w:rsid w:val="718A543A"/>
    <w:rsid w:val="719A760A"/>
    <w:rsid w:val="719D0D51"/>
    <w:rsid w:val="71B15C2B"/>
    <w:rsid w:val="71C775AC"/>
    <w:rsid w:val="71E27EA1"/>
    <w:rsid w:val="71E84CBD"/>
    <w:rsid w:val="72024D75"/>
    <w:rsid w:val="72026398"/>
    <w:rsid w:val="722B4090"/>
    <w:rsid w:val="723F5976"/>
    <w:rsid w:val="724530CF"/>
    <w:rsid w:val="72607C33"/>
    <w:rsid w:val="7267558B"/>
    <w:rsid w:val="7267722E"/>
    <w:rsid w:val="726D03AB"/>
    <w:rsid w:val="7275552C"/>
    <w:rsid w:val="72766BB2"/>
    <w:rsid w:val="72944739"/>
    <w:rsid w:val="72A61C32"/>
    <w:rsid w:val="72A97A08"/>
    <w:rsid w:val="72CB7F46"/>
    <w:rsid w:val="72D21E71"/>
    <w:rsid w:val="72D84E60"/>
    <w:rsid w:val="72E21F9E"/>
    <w:rsid w:val="72F100A8"/>
    <w:rsid w:val="72FA6C6A"/>
    <w:rsid w:val="72FB43B2"/>
    <w:rsid w:val="72FE3EF7"/>
    <w:rsid w:val="7303081C"/>
    <w:rsid w:val="73121CB7"/>
    <w:rsid w:val="73127898"/>
    <w:rsid w:val="73134E8E"/>
    <w:rsid w:val="731F2161"/>
    <w:rsid w:val="732716BC"/>
    <w:rsid w:val="7333450C"/>
    <w:rsid w:val="7348088D"/>
    <w:rsid w:val="735344A6"/>
    <w:rsid w:val="735463E0"/>
    <w:rsid w:val="736816C1"/>
    <w:rsid w:val="737B0183"/>
    <w:rsid w:val="7381208C"/>
    <w:rsid w:val="73841927"/>
    <w:rsid w:val="738A7955"/>
    <w:rsid w:val="73900213"/>
    <w:rsid w:val="73A13E7A"/>
    <w:rsid w:val="73A36DC3"/>
    <w:rsid w:val="73B33483"/>
    <w:rsid w:val="73DE4D67"/>
    <w:rsid w:val="73F71AA0"/>
    <w:rsid w:val="73FC3414"/>
    <w:rsid w:val="73FC6BEB"/>
    <w:rsid w:val="74016246"/>
    <w:rsid w:val="740227D1"/>
    <w:rsid w:val="741255AF"/>
    <w:rsid w:val="745A4881"/>
    <w:rsid w:val="745C121D"/>
    <w:rsid w:val="745D741C"/>
    <w:rsid w:val="745E4D08"/>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5A08D5"/>
    <w:rsid w:val="755C4C37"/>
    <w:rsid w:val="75622CB1"/>
    <w:rsid w:val="75657CAB"/>
    <w:rsid w:val="75772547"/>
    <w:rsid w:val="75997C5C"/>
    <w:rsid w:val="75AE0EB2"/>
    <w:rsid w:val="75B33C4A"/>
    <w:rsid w:val="75B84A01"/>
    <w:rsid w:val="75BA1D71"/>
    <w:rsid w:val="75C863E2"/>
    <w:rsid w:val="75DA5365"/>
    <w:rsid w:val="75DE03EB"/>
    <w:rsid w:val="75EA7032"/>
    <w:rsid w:val="75EC44C9"/>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9113C6"/>
    <w:rsid w:val="76997857"/>
    <w:rsid w:val="76A17FB6"/>
    <w:rsid w:val="76C2056E"/>
    <w:rsid w:val="76CE079E"/>
    <w:rsid w:val="76D25C7C"/>
    <w:rsid w:val="770D2AFC"/>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D2C5E"/>
    <w:rsid w:val="780D0085"/>
    <w:rsid w:val="78270EE0"/>
    <w:rsid w:val="78271104"/>
    <w:rsid w:val="7828402F"/>
    <w:rsid w:val="782F5476"/>
    <w:rsid w:val="783000F4"/>
    <w:rsid w:val="78373505"/>
    <w:rsid w:val="78464A37"/>
    <w:rsid w:val="784A60C8"/>
    <w:rsid w:val="784B7472"/>
    <w:rsid w:val="78523C6F"/>
    <w:rsid w:val="785E7134"/>
    <w:rsid w:val="78661ED8"/>
    <w:rsid w:val="78815E79"/>
    <w:rsid w:val="78861A8D"/>
    <w:rsid w:val="788F779E"/>
    <w:rsid w:val="78973BA6"/>
    <w:rsid w:val="78A376CA"/>
    <w:rsid w:val="78AB08D6"/>
    <w:rsid w:val="78AF78E1"/>
    <w:rsid w:val="78CE534E"/>
    <w:rsid w:val="78D424A1"/>
    <w:rsid w:val="78DA187D"/>
    <w:rsid w:val="78ED42D2"/>
    <w:rsid w:val="78F76941"/>
    <w:rsid w:val="78F82ED4"/>
    <w:rsid w:val="790114CB"/>
    <w:rsid w:val="7904715A"/>
    <w:rsid w:val="7925703F"/>
    <w:rsid w:val="7931755D"/>
    <w:rsid w:val="7932189D"/>
    <w:rsid w:val="793424DB"/>
    <w:rsid w:val="794563F3"/>
    <w:rsid w:val="7962750F"/>
    <w:rsid w:val="79671C35"/>
    <w:rsid w:val="796B0021"/>
    <w:rsid w:val="796F42FD"/>
    <w:rsid w:val="79701A60"/>
    <w:rsid w:val="797218E2"/>
    <w:rsid w:val="797F6705"/>
    <w:rsid w:val="79807FC2"/>
    <w:rsid w:val="799D6ABE"/>
    <w:rsid w:val="79A3401F"/>
    <w:rsid w:val="79A70B11"/>
    <w:rsid w:val="79B20ABE"/>
    <w:rsid w:val="79B43C51"/>
    <w:rsid w:val="79B6170C"/>
    <w:rsid w:val="79BB3341"/>
    <w:rsid w:val="79C22F64"/>
    <w:rsid w:val="79D03D26"/>
    <w:rsid w:val="79D550A6"/>
    <w:rsid w:val="79E8298B"/>
    <w:rsid w:val="7A27719F"/>
    <w:rsid w:val="7A3466E6"/>
    <w:rsid w:val="7A361B91"/>
    <w:rsid w:val="7A410FED"/>
    <w:rsid w:val="7A4205D3"/>
    <w:rsid w:val="7A4F3DD9"/>
    <w:rsid w:val="7A577D70"/>
    <w:rsid w:val="7A5872B9"/>
    <w:rsid w:val="7A5C3640"/>
    <w:rsid w:val="7A6513E3"/>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4D3EAC"/>
    <w:rsid w:val="7B60366D"/>
    <w:rsid w:val="7B74384D"/>
    <w:rsid w:val="7B826E52"/>
    <w:rsid w:val="7B8A5D04"/>
    <w:rsid w:val="7B8C21DA"/>
    <w:rsid w:val="7B940404"/>
    <w:rsid w:val="7BB6238F"/>
    <w:rsid w:val="7BCA1026"/>
    <w:rsid w:val="7BD173B3"/>
    <w:rsid w:val="7BDD14C7"/>
    <w:rsid w:val="7BDD38EC"/>
    <w:rsid w:val="7BF07147"/>
    <w:rsid w:val="7BF8597E"/>
    <w:rsid w:val="7C032820"/>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F280C"/>
    <w:rsid w:val="7CF05155"/>
    <w:rsid w:val="7CF26CD8"/>
    <w:rsid w:val="7CF451D1"/>
    <w:rsid w:val="7CF95837"/>
    <w:rsid w:val="7CFF7E47"/>
    <w:rsid w:val="7D1C7EA0"/>
    <w:rsid w:val="7D21185C"/>
    <w:rsid w:val="7D2A35D5"/>
    <w:rsid w:val="7D2D06F9"/>
    <w:rsid w:val="7D345976"/>
    <w:rsid w:val="7D4C1C46"/>
    <w:rsid w:val="7D5B3E9F"/>
    <w:rsid w:val="7D5B5B2B"/>
    <w:rsid w:val="7D622FC2"/>
    <w:rsid w:val="7D736CF0"/>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5668F"/>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AA68F3"/>
    <w:rsid w:val="7FBA19A1"/>
    <w:rsid w:val="7FC90A85"/>
    <w:rsid w:val="7FCF16D2"/>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TF"/>
    <w:basedOn w:val="39"/>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1180</Words>
  <Characters>6508</Characters>
  <Lines>1</Lines>
  <Paragraphs>1</Paragraphs>
  <TotalTime>1</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2025-10-03T06:41:29Z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C8E14FDB68944705955F675EE255CD9A</vt:lpwstr>
  </property>
  <property fmtid="{D5CDD505-2E9C-101B-9397-08002B2CF9AE}" pid="4" name="KSOTemplateDocerSaveRecord">
    <vt:lpwstr>eyJoZGlkIjoiYTg3ZTM5ZTlmYzg2NzU3MTgyZDgxNmQyZDdjZGE4ODkifQ==</vt:lpwstr>
  </property>
</Properties>
</file>